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ind w:left="4706"/>
        <w:spacing w:before="120" w:after="0" w:line="257" w:lineRule="auto"/>
        <w:suppressAutoHyphens/>
        <w:hyphenationLines w:val="0"/>
        <w:keepNext/>
        <w:keepLines/>
        <w:widowControl w:val="0"/>
        <w:tabs defTabSz="708">
          <w:tab w:val="right" w:pos="7710" w:leader="none"/>
        </w:tabs>
        <w:rPr>
          <w:rFonts w:ascii="Times New Roman" w:hAnsi="Times New Roman" w:eastAsia="Times New Roman"/>
          <w:color w:val="000000"/>
          <w:sz w:val="18"/>
          <w:szCs w:val="18"/>
          <w:lang w:val="uk-ua" w:eastAsia="uk-ua"/>
        </w:rPr>
      </w:pPr>
      <w:r>
        <w:rPr>
          <w:rFonts w:ascii="Times New Roman" w:hAnsi="Times New Roman" w:eastAsia="Times New Roman"/>
          <w:color w:val="000000"/>
          <w:sz w:val="18"/>
          <w:szCs w:val="18"/>
          <w:lang w:val="uk-ua" w:eastAsia="uk-ua"/>
        </w:rPr>
        <w:t>Додаток 7</w:t>
        <w:br w:type="textWrapping"/>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eastAsia="Times New Roman"/>
          <w:color w:val="000000"/>
          <w:sz w:val="18"/>
          <w:szCs w:val="18"/>
          <w:lang w:eastAsia="uk-ua"/>
        </w:rPr>
        <w:t xml:space="preserve"> </w:t>
      </w:r>
      <w:r>
        <w:rPr>
          <w:rFonts w:ascii="Times New Roman" w:hAnsi="Times New Roman" w:eastAsia="Times New Roman"/>
          <w:color w:val="000000"/>
          <w:sz w:val="18"/>
          <w:szCs w:val="18"/>
          <w:lang w:val="uk-ua" w:eastAsia="uk-ua"/>
        </w:rPr>
        <w:t>(пункт 39)</w:t>
      </w:r>
      <w:r>
        <w:rPr>
          <w:rFonts w:ascii="Times New Roman" w:hAnsi="Times New Roman" w:eastAsia="Times New Roman"/>
          <w:color w:val="000000"/>
          <w:sz w:val="18"/>
          <w:szCs w:val="18"/>
          <w:lang w:val="uk-ua" w:eastAsia="uk-ua"/>
        </w:rPr>
      </w:r>
    </w:p>
    <w:p>
      <w:pPr>
        <w:spacing w:before="283" w:after="113" w:line="257" w:lineRule="auto"/>
        <w:jc w:val="center"/>
        <w:suppressAutoHyphens/>
        <w:hyphenationLines w:val="0"/>
        <w:keepNext/>
        <w:keepLines/>
        <w:widowControl w:val="0"/>
        <w:tabs defTabSz="708">
          <w:tab w:val="right" w:pos="7710" w:leader="none"/>
        </w:tabs>
        <w:rPr>
          <w:rFonts w:ascii="Times New Roman" w:hAnsi="Times New Roman" w:eastAsia="Times New Roman"/>
          <w:b/>
          <w:bCs/>
          <w:color w:val="000000"/>
          <w:sz w:val="28"/>
          <w:szCs w:val="28"/>
          <w:lang w:val="uk-ua" w:eastAsia="uk-ua"/>
        </w:rPr>
      </w:pPr>
      <w:r>
        <w:rPr>
          <w:rFonts w:ascii="Times New Roman" w:hAnsi="Times New Roman" w:eastAsia="Times New Roman"/>
          <w:b/>
          <w:bCs/>
          <w:color w:val="000000"/>
          <w:sz w:val="28"/>
          <w:szCs w:val="28"/>
          <w:lang w:val="uk-ua" w:eastAsia="uk-ua"/>
        </w:rPr>
      </w:r>
    </w:p>
    <w:p>
      <w:pPr>
        <w:spacing w:before="283" w:after="113" w:line="257" w:lineRule="auto"/>
        <w:jc w:val="center"/>
        <w:suppressAutoHyphens/>
        <w:hyphenationLines w:val="0"/>
        <w:keepNext/>
        <w:keepLines/>
        <w:widowControl w:val="0"/>
        <w:tabs defTabSz="708">
          <w:tab w:val="right" w:pos="7710" w:leader="none"/>
        </w:tabs>
        <w:rPr>
          <w:rFonts w:ascii="Times New Roman" w:hAnsi="Times New Roman" w:eastAsia="Times New Roman"/>
          <w:b/>
          <w:bCs/>
          <w:color w:val="000000"/>
          <w:sz w:val="28"/>
          <w:szCs w:val="28"/>
          <w:lang w:val="uk-ua" w:eastAsia="uk-ua"/>
        </w:rPr>
      </w:pPr>
      <w:r>
        <w:rPr>
          <w:rFonts w:ascii="Times New Roman" w:hAnsi="Times New Roman" w:eastAsia="Times New Roman"/>
          <w:b/>
          <w:bCs/>
          <w:color w:val="000000"/>
          <w:sz w:val="28"/>
          <w:szCs w:val="28"/>
          <w:lang w:val="uk-ua" w:eastAsia="uk-ua"/>
        </w:rPr>
        <w:t>Титульний аркуш</w:t>
      </w:r>
    </w:p>
    <w:tbl>
      <w:tblPr>
        <w:tblStyle w:val="NormalTable"/>
        <w:name w:val="Таблица1"/>
        <w:tabOrder w:val="0"/>
        <w:jc w:val="left"/>
        <w:tblInd w:w="0" w:type="dxa"/>
        <w:tblW w:w="9921" w:type="dxa"/>
        <w:tblLook w:val="0000" w:firstRow="0" w:lastRow="0" w:firstColumn="0" w:lastColumn="0" w:noHBand="0" w:noVBand="0"/>
      </w:tblPr>
      <w:tblGrid>
        <w:gridCol w:w="4097"/>
        <w:gridCol w:w="5824"/>
      </w:tblGrid>
      <w:tr>
        <w:trPr>
          <w:cantSplit w:val="0"/>
          <w:trHeight w:val="60" w:hRule="atLeast"/>
        </w:trPr>
        <w:tc>
          <w:tcPr>
            <w:tcW w:w="2065" w:type="pct"/>
            <w:tmTcPr id="1759223788" protected="0"/>
          </w:tcPr>
          <w:p>
            <w:pPr>
              <w:spacing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u w:color="auto" w:val="single"/>
                <w:lang w:eastAsia="uk-ua"/>
              </w:rPr>
              <w:t>30.09.2025</w:t>
            </w:r>
            <w:r>
              <w:rPr>
                <w:rFonts w:ascii="Times New Roman" w:hAnsi="Times New Roman" w:eastAsia="Times New Roman"/>
                <w:color w:val="000000"/>
                <w:sz w:val="24"/>
                <w:szCs w:val="24"/>
                <w:lang w:val="uk-ua" w:eastAsia="uk-ua"/>
              </w:rPr>
            </w:r>
          </w:p>
          <w:p>
            <w:pPr>
              <w:spacing w:before="17" w:after="0" w:line="257" w:lineRule="auto"/>
              <w:jc w:val="center"/>
              <w:suppressAutoHyphens/>
              <w:hyphenationLines w:val="0"/>
              <w:widowControl w:val="0"/>
              <w:tabs defTabSz="708">
                <w:tab w:val="right" w:pos="771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(дата реєстрації особою</w:t>
              <w:br w:type="textWrapping"/>
              <w:t>електронного документа)</w:t>
            </w:r>
          </w:p>
          <w:p>
            <w:pPr>
              <w:spacing w:before="113"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t>№</w:t>
            </w:r>
            <w:r>
              <w:rPr>
                <w:rFonts w:ascii="Times New Roman" w:hAnsi="Times New Roman" w:eastAsia="Times New Roman"/>
                <w:color w:val="000000"/>
                <w:sz w:val="24"/>
                <w:szCs w:val="24"/>
                <w:lang w:eastAsia="uk-ua"/>
              </w:rPr>
              <w:t xml:space="preserve"> </w:t>
            </w:r>
            <w:r>
              <w:rPr>
                <w:rFonts w:ascii="Times New Roman" w:hAnsi="Times New Roman" w:eastAsia="Times New Roman"/>
                <w:color w:val="000000"/>
                <w:sz w:val="24"/>
                <w:szCs w:val="24"/>
                <w:u w:color="auto" w:val="single"/>
                <w:lang w:eastAsia="uk-ua"/>
              </w:rPr>
              <w:t>3</w:t>
            </w:r>
            <w:r>
              <w:rPr>
                <w:rFonts w:ascii="Times New Roman" w:hAnsi="Times New Roman" w:eastAsia="Times New Roman"/>
                <w:color w:val="000000"/>
                <w:sz w:val="24"/>
                <w:szCs w:val="24"/>
                <w:lang w:val="uk-ua" w:eastAsia="uk-ua"/>
              </w:rPr>
            </w:r>
          </w:p>
          <w:p>
            <w:pPr>
              <w:ind w:left="180"/>
              <w:spacing w:before="17" w:after="0" w:line="257" w:lineRule="auto"/>
              <w:jc w:val="center"/>
              <w:suppressAutoHyphens/>
              <w:hyphenationLines w:val="0"/>
              <w:widowControl w:val="0"/>
              <w:tabs defTabSz="708">
                <w:tab w:val="right" w:pos="771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(вихідний реєстраційний номер електронного документа)</w:t>
            </w:r>
          </w:p>
        </w:tc>
        <w:tc>
          <w:tcPr>
            <w:tcW w:w="2935" w:type="pct"/>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r>
          </w:p>
        </w:tc>
      </w:tr>
    </w:tbl>
    <w:p>
      <w:pPr>
        <w:ind w:firstLine="283"/>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r>
    </w:p>
    <w:p>
      <w:pPr>
        <w:spacing w:before="57"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p>
      <w:pPr>
        <w:spacing w:before="57"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r>
    </w:p>
    <w:tbl>
      <w:tblPr>
        <w:tblStyle w:val="NormalTable"/>
        <w:name w:val="Таблица2"/>
        <w:tabOrder w:val="0"/>
        <w:jc w:val="left"/>
        <w:tblInd w:w="0" w:type="dxa"/>
        <w:tblW w:w="9912" w:type="dxa"/>
        <w:tblLook w:val="0000" w:firstRow="0" w:lastRow="0" w:firstColumn="0" w:lastColumn="0" w:noHBand="0" w:noVBand="0"/>
      </w:tblPr>
      <w:tblGrid>
        <w:gridCol w:w="3304"/>
        <w:gridCol w:w="3304"/>
        <w:gridCol w:w="3304"/>
      </w:tblGrid>
      <w:tr>
        <w:trPr>
          <w:cantSplit w:val="0"/>
          <w:trHeight w:val="60" w:hRule="atLeast"/>
        </w:trPr>
        <w:tc>
          <w:tcPr>
            <w:tcW w:w="1665" w:type="pct"/>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spacing w:val="-2"/>
                <w:sz w:val="24"/>
                <w:szCs w:val="24"/>
                <w:lang w:val="uk-ua" w:eastAsia="uk-ua"/>
              </w:rPr>
            </w:pPr>
            <w:r>
              <w:rPr>
                <w:rFonts w:ascii="HeliosCond" w:hAnsi="HeliosCond" w:eastAsia="Times New Roman" w:cs="HeliosCond"/>
                <w:color w:val="000000"/>
                <w:spacing w:val="-2"/>
                <w:sz w:val="24"/>
                <w:szCs w:val="24"/>
                <w:u w:color="auto" w:val="single"/>
                <w:lang w:val="en-us" w:eastAsia="uk-ua"/>
              </w:rPr>
              <w:t>Голова правління</w:t>
            </w:r>
            <w:r>
              <w:rPr>
                <w:rFonts w:ascii="Times New Roman" w:hAnsi="Times New Roman" w:eastAsia="Times New Roman"/>
                <w:color w:val="000000"/>
                <w:spacing w:val="-2"/>
                <w:sz w:val="24"/>
                <w:szCs w:val="24"/>
                <w:lang w:val="uk-ua" w:eastAsia="uk-ua"/>
              </w:rPr>
              <w:t xml:space="preserve"> </w:t>
            </w:r>
            <w:r>
              <w:rPr>
                <w:rFonts w:ascii="Times New Roman" w:hAnsi="Times New Roman" w:eastAsia="Times New Roman"/>
                <w:color w:val="000000"/>
                <w:spacing w:val="-2"/>
                <w:sz w:val="24"/>
                <w:szCs w:val="24"/>
                <w:lang w:val="uk-ua" w:eastAsia="uk-ua"/>
              </w:rPr>
            </w:r>
          </w:p>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spacing w:val="-2"/>
                <w:sz w:val="20"/>
                <w:szCs w:val="20"/>
                <w:lang w:val="uk-ua" w:eastAsia="uk-ua"/>
              </w:rPr>
            </w:pPr>
            <w:r>
              <w:rPr>
                <w:rFonts w:ascii="Times New Roman" w:hAnsi="Times New Roman" w:eastAsia="Times New Roman"/>
                <w:color w:val="000000"/>
                <w:spacing w:val="-2"/>
                <w:sz w:val="18"/>
                <w:szCs w:val="20"/>
                <w:lang w:val="uk-ua" w:eastAsia="uk-ua"/>
              </w:rPr>
              <w:t>(посада)</w:t>
            </w:r>
            <w:r>
              <w:rPr>
                <w:rFonts w:ascii="Times New Roman" w:hAnsi="Times New Roman" w:eastAsia="Times New Roman"/>
                <w:color w:val="000000"/>
                <w:spacing w:val="-2"/>
                <w:sz w:val="20"/>
                <w:szCs w:val="20"/>
                <w:lang w:val="uk-ua" w:eastAsia="uk-ua"/>
              </w:rPr>
            </w:r>
          </w:p>
        </w:tc>
        <w:tc>
          <w:tcPr>
            <w:tcW w:w="1665" w:type="pct"/>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t>_______________________________</w:t>
            </w:r>
          </w:p>
          <w:p>
            <w:pPr>
              <w:spacing w:before="17" w:after="0" w:line="257" w:lineRule="auto"/>
              <w:jc w:val="center"/>
              <w:suppressAutoHyphens/>
              <w:hyphenationLines w:val="0"/>
              <w:widowControl w:val="0"/>
              <w:tabs defTabSz="708">
                <w:tab w:val="right" w:pos="7710" w:leader="none"/>
              </w:tabs>
              <w:rPr>
                <w:rFonts w:ascii="Times New Roman" w:hAnsi="Times New Roman" w:eastAsia="Times New Roman"/>
                <w:color w:val="000000"/>
                <w:sz w:val="18"/>
                <w:szCs w:val="18"/>
                <w:lang w:val="uk-ua" w:eastAsia="uk-ua"/>
              </w:rPr>
            </w:pPr>
            <w:r>
              <w:rPr>
                <w:rFonts w:ascii="Times New Roman" w:hAnsi="Times New Roman" w:eastAsia="Times New Roman"/>
                <w:color w:val="000000"/>
                <w:sz w:val="18"/>
                <w:szCs w:val="18"/>
                <w:lang w:val="uk-ua" w:eastAsia="uk-ua"/>
              </w:rPr>
              <w:t xml:space="preserve">(місце для накладання електронного підпису </w:t>
              <w:br w:type="textWrapping"/>
              <w:t>уповноваженої особи емітента/особи, яка надає забезпечення, що базується на кваліфікованому сертифікаті відкритого ключа)</w:t>
            </w:r>
          </w:p>
        </w:tc>
        <w:tc>
          <w:tcPr>
            <w:tcW w:w="1665" w:type="pct"/>
            <w:tmTcPr id="1759223788" protected="0"/>
          </w:tcPr>
          <w:p>
            <w:pPr>
              <w:spacing w:before="17" w:after="0" w:line="257" w:lineRule="auto"/>
              <w:jc w:val="center"/>
              <w:suppressAutoHyphens/>
              <w:hyphenationLines w:val="0"/>
              <w:widowControl w:val="0"/>
              <w:tabs defTabSz="708">
                <w:tab w:val="right" w:pos="7710" w:leader="none"/>
              </w:tabs>
              <w:rPr>
                <w:rFonts w:ascii="Times New Roman" w:hAnsi="Times New Roman" w:eastAsia="Times New Roman"/>
                <w:color w:val="000000"/>
                <w:sz w:val="24"/>
                <w:szCs w:val="24"/>
                <w:u w:color="auto" w:val="single"/>
                <w:lang w:val="uk-ua" w:eastAsia="uk-ua"/>
              </w:rPr>
            </w:pPr>
            <w:r>
              <w:rPr>
                <w:rFonts w:ascii="Times New Roman" w:hAnsi="Times New Roman" w:eastAsia="Times New Roman"/>
                <w:color w:val="000000"/>
                <w:sz w:val="24"/>
                <w:szCs w:val="24"/>
                <w:u w:color="auto" w:val="single"/>
                <w:lang w:eastAsia="uk-ua"/>
              </w:rPr>
              <w:t>Горда Максим Серг</w:t>
            </w:r>
            <w:r>
              <w:rPr>
                <w:rFonts w:ascii="Times New Roman" w:hAnsi="Times New Roman" w:eastAsia="Times New Roman"/>
                <w:color w:val="000000"/>
                <w:sz w:val="24"/>
                <w:szCs w:val="24"/>
                <w:u w:color="auto" w:val="single"/>
                <w:lang w:val="en-us" w:eastAsia="uk-ua"/>
              </w:rPr>
              <w:t>i</w:t>
            </w:r>
            <w:r>
              <w:rPr>
                <w:rFonts w:ascii="Times New Roman" w:hAnsi="Times New Roman" w:eastAsia="Times New Roman"/>
                <w:color w:val="000000"/>
                <w:sz w:val="24"/>
                <w:szCs w:val="24"/>
                <w:u w:color="auto" w:val="single"/>
                <w:lang w:eastAsia="uk-ua"/>
              </w:rPr>
              <w:t>йович</w:t>
            </w:r>
            <w:r>
              <w:rPr>
                <w:rFonts w:ascii="Times New Roman" w:hAnsi="Times New Roman" w:eastAsia="Times New Roman"/>
                <w:color w:val="000000"/>
                <w:sz w:val="24"/>
                <w:szCs w:val="24"/>
                <w:u w:color="auto" w:val="single"/>
                <w:lang w:val="uk-ua" w:eastAsia="uk-ua"/>
              </w:rPr>
              <w:t xml:space="preserve"> </w:t>
            </w:r>
            <w:r>
              <w:rPr>
                <w:rFonts w:ascii="Times New Roman" w:hAnsi="Times New Roman" w:eastAsia="Times New Roman"/>
                <w:color w:val="000000"/>
                <w:sz w:val="24"/>
                <w:szCs w:val="24"/>
                <w:u w:color="auto" w:val="single"/>
                <w:lang w:val="uk-ua" w:eastAsia="uk-ua"/>
              </w:rPr>
            </w:r>
          </w:p>
          <w:p>
            <w:pPr>
              <w:spacing w:before="17" w:after="0" w:line="257" w:lineRule="auto"/>
              <w:jc w:val="center"/>
              <w:suppressAutoHyphens/>
              <w:hyphenationLines w:val="0"/>
              <w:widowControl w:val="0"/>
              <w:tabs defTabSz="708">
                <w:tab w:val="right" w:pos="771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18"/>
                <w:szCs w:val="20"/>
                <w:lang w:val="uk-ua" w:eastAsia="uk-ua"/>
              </w:rPr>
              <w:t xml:space="preserve">(прізвище та ініціали керівника </w:t>
              <w:br w:type="textWrapping"/>
              <w:t>або уповноваженої особи)</w:t>
            </w:r>
            <w:r>
              <w:rPr>
                <w:rFonts w:ascii="Times New Roman" w:hAnsi="Times New Roman" w:eastAsia="Times New Roman"/>
                <w:color w:val="000000"/>
                <w:sz w:val="20"/>
                <w:szCs w:val="20"/>
                <w:lang w:val="uk-ua" w:eastAsia="uk-ua"/>
              </w:rPr>
            </w:r>
          </w:p>
        </w:tc>
      </w:tr>
    </w:tbl>
    <w:p>
      <w:pPr>
        <w:spacing w:before="283" w:after="113" w:line="257" w:lineRule="auto"/>
        <w:jc w:val="center"/>
        <w:suppressAutoHyphens/>
        <w:hyphenationLines w:val="0"/>
        <w:keepNext/>
        <w:keepLines/>
        <w:widowControl w:val="0"/>
        <w:tabs defTabSz="708">
          <w:tab w:val="right" w:pos="771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r>
    </w:p>
    <w:p>
      <w:pPr>
        <w:spacing w:before="283" w:after="113" w:line="257" w:lineRule="auto"/>
        <w:jc w:val="center"/>
        <w:suppressAutoHyphens/>
        <w:hyphenationLines w:val="0"/>
        <w:keepNext/>
        <w:keepLines/>
        <w:widowControl w:val="0"/>
        <w:tabs defTabSz="708">
          <w:tab w:val="right" w:pos="771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Річний звіт</w:t>
      </w:r>
      <w:r>
        <w:rPr>
          <w:rFonts w:ascii="Pragmatica-Bold" w:hAnsi="Pragmatica-Bold" w:eastAsia="Times New Roman" w:cs="Pragmatica-Bold"/>
          <w:b/>
          <w:bCs/>
          <w:color w:val="000000"/>
          <w:w w:val="90"/>
          <w:sz w:val="20"/>
          <w:szCs w:val="20"/>
          <w:lang w:val="uk-ua" w:eastAsia="uk-ua"/>
        </w:rPr>
        <w:t xml:space="preserve"> </w:t>
      </w:r>
      <w:r>
        <w:rPr>
          <w:rFonts w:ascii="Times New Roman" w:hAnsi="Times New Roman" w:eastAsia="Times New Roman"/>
          <w:b/>
          <w:bCs/>
          <w:color w:val="000000"/>
          <w:sz w:val="24"/>
          <w:szCs w:val="24"/>
          <w:lang w:eastAsia="uk-ua"/>
        </w:rPr>
        <w:t>Приватне акціонерне товариство "Макіївський завод "ФАКЕЛ" ( ідентифікаційний код : 05781213 )</w:t>
      </w:r>
      <w:r>
        <w:rPr>
          <w:rFonts w:ascii="Times New Roman" w:hAnsi="Times New Roman" w:eastAsia="Times New Roman"/>
          <w:b/>
          <w:bCs/>
          <w:color w:val="000000"/>
          <w:sz w:val="24"/>
          <w:szCs w:val="24"/>
          <w:lang w:val="uk-ua" w:eastAsia="uk-ua"/>
        </w:rPr>
        <w:t xml:space="preserve"> за </w:t>
      </w:r>
      <w:r>
        <w:rPr>
          <w:rFonts w:ascii="Times New Roman" w:hAnsi="Times New Roman" w:eastAsia="Times New Roman"/>
          <w:b/>
          <w:color w:val="000000"/>
          <w:sz w:val="24"/>
          <w:szCs w:val="24"/>
          <w:lang w:eastAsia="uk-ua"/>
        </w:rPr>
        <w:t>2023</w:t>
      </w:r>
      <w:r>
        <w:rPr>
          <w:rFonts w:ascii="Times New Roman" w:hAnsi="Times New Roman" w:eastAsia="Times New Roman"/>
          <w:b/>
          <w:bCs/>
          <w:color w:val="000000"/>
          <w:sz w:val="24"/>
          <w:szCs w:val="24"/>
          <w:lang w:val="uk-ua" w:eastAsia="uk-ua"/>
        </w:rPr>
        <w:t xml:space="preserve"> рік</w:t>
      </w:r>
      <w:r>
        <w:rPr>
          <w:rFonts w:ascii="Times New Roman" w:hAnsi="Times New Roman" w:eastAsia="Times New Roman"/>
          <w:b/>
          <w:bCs/>
          <w:color w:val="000000"/>
          <w:sz w:val="24"/>
          <w:szCs w:val="24"/>
          <w:lang w:val="uk-ua" w:eastAsia="uk-ua"/>
        </w:rPr>
      </w:r>
    </w:p>
    <w:p>
      <w:pPr>
        <w:spacing w:before="283" w:after="113" w:line="257" w:lineRule="auto"/>
        <w:jc w:val="center"/>
        <w:suppressAutoHyphens/>
        <w:hyphenationLines w:val="0"/>
        <w:keepNext/>
        <w:keepLines/>
        <w:widowControl w:val="0"/>
        <w:tabs defTabSz="708">
          <w:tab w:val="right" w:pos="771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r>
    </w:p>
    <w:p>
      <w:pPr>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eastAsia="uk-ua"/>
        </w:rPr>
      </w:pPr>
      <w:r>
        <w:rPr>
          <w:rFonts w:ascii="Times New Roman" w:hAnsi="Times New Roman" w:eastAsia="Times New Roman"/>
          <w:b/>
          <w:bCs/>
          <w:color w:val="000000"/>
          <w:sz w:val="24"/>
          <w:szCs w:val="24"/>
          <w:lang w:val="uk-ua" w:eastAsia="uk-ua"/>
        </w:rPr>
        <w:t>Рішення про затвердження річного звіту</w:t>
      </w:r>
      <w:r>
        <w:rPr>
          <w:rFonts w:ascii="Times New Roman" w:hAnsi="Times New Roman" w:eastAsia="Times New Roman"/>
          <w:color w:val="000000"/>
          <w:sz w:val="24"/>
          <w:szCs w:val="24"/>
          <w:lang w:eastAsia="uk-ua"/>
        </w:rPr>
        <w:t xml:space="preserve"> </w:t>
      </w:r>
      <w:r>
        <w:rPr>
          <w:rFonts w:ascii="Times New Roman" w:hAnsi="Times New Roman" w:eastAsia="Times New Roman"/>
          <w:color w:val="000000"/>
          <w:sz w:val="24"/>
          <w:szCs w:val="24"/>
          <w:lang w:val="uk-ua" w:eastAsia="uk-ua"/>
        </w:rPr>
        <w:t>:</w:t>
      </w:r>
      <w:r>
        <w:rPr>
          <w:rFonts w:ascii="Pragmatica-Book" w:hAnsi="Pragmatica-Book" w:eastAsia="Times New Roman" w:cs="Pragmatica-Book"/>
          <w:color w:val="000000"/>
          <w:w w:val="90"/>
          <w:sz w:val="20"/>
          <w:szCs w:val="20"/>
          <w:lang w:eastAsia="uk-ua"/>
        </w:rPr>
        <w:t xml:space="preserve"> </w:t>
      </w:r>
      <w:r>
        <w:rPr>
          <w:rFonts w:ascii="Times New Roman" w:hAnsi="Times New Roman" w:eastAsia="Times New Roman"/>
          <w:color w:val="000000"/>
          <w:sz w:val="24"/>
          <w:szCs w:val="24"/>
          <w:lang w:eastAsia="uk-ua"/>
        </w:rPr>
        <w:t>Рішення наглядової ради емітента</w:t>
      </w:r>
      <w:r>
        <w:rPr>
          <w:rFonts w:ascii="Times New Roman" w:hAnsi="Times New Roman" w:eastAsia="Times New Roman"/>
          <w:color w:val="000000"/>
          <w:sz w:val="24"/>
          <w:szCs w:val="24"/>
          <w:lang w:eastAsia="uk-ua"/>
        </w:rPr>
      </w:r>
    </w:p>
    <w:p>
      <w:pPr>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eastAsia="uk-ua"/>
        </w:rPr>
        <w:t>Протокол зас</w:t>
      </w:r>
      <w:r>
        <w:rPr>
          <w:rFonts w:ascii="Times New Roman" w:hAnsi="Times New Roman" w:eastAsia="Times New Roman"/>
          <w:color w:val="000000"/>
          <w:sz w:val="24"/>
          <w:szCs w:val="24"/>
          <w:lang w:val="en-us" w:eastAsia="uk-ua"/>
        </w:rPr>
        <w:t>i</w:t>
      </w:r>
      <w:r>
        <w:rPr>
          <w:rFonts w:ascii="Times New Roman" w:hAnsi="Times New Roman" w:eastAsia="Times New Roman"/>
          <w:color w:val="000000"/>
          <w:sz w:val="24"/>
          <w:szCs w:val="24"/>
          <w:lang w:eastAsia="uk-ua"/>
        </w:rPr>
        <w:t>дання Наглядової ради товариства № 02/05/24 від 02.05.2024р.</w:t>
      </w:r>
      <w:r>
        <w:rPr>
          <w:rFonts w:ascii="Times New Roman" w:hAnsi="Times New Roman" w:eastAsia="Times New Roman"/>
          <w:color w:val="000000"/>
          <w:sz w:val="24"/>
          <w:szCs w:val="24"/>
          <w:lang w:val="uk-ua" w:eastAsia="uk-ua"/>
        </w:rPr>
      </w:r>
    </w:p>
    <w:p>
      <w:pPr>
        <w:spacing w:after="0" w:line="257" w:lineRule="auto"/>
        <w:jc w:val="both"/>
        <w:suppressAutoHyphens/>
        <w:hyphenationLines w:val="0"/>
        <w:widowControl w:val="0"/>
        <w:tabs defTabSz="708">
          <w:tab w:val="right" w:pos="7710" w:leader="underscore"/>
          <w:tab w:val="right" w:pos="11514" w:leader="underscor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r>
    </w:p>
    <w:p>
      <w:pPr>
        <w:spacing w:after="0" w:line="257" w:lineRule="auto"/>
        <w:jc w:val="both"/>
        <w:suppressAutoHyphens/>
        <w:hyphenationLines w:val="0"/>
        <w:widowControl w:val="0"/>
        <w:tabs defTabSz="708">
          <w:tab w:val="right" w:pos="7710" w:leader="underscore"/>
          <w:tab w:val="right" w:pos="11514" w:leader="underscor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Особа, яка здійснює діяльність з оприлюднення регульованої інформації:</w:t>
      </w:r>
    </w:p>
    <w:p>
      <w:pPr>
        <w:spacing w:after="0" w:line="257" w:lineRule="auto"/>
        <w:jc w:val="both"/>
        <w:suppressAutoHyphens/>
        <w:hyphenationLines w:val="0"/>
        <w:widowControl w:val="0"/>
        <w:tabs defTabSz="708">
          <w:tab w:val="right" w:pos="7710" w:leader="underscore"/>
          <w:tab w:val="right" w:pos="11514" w:leader="underscore"/>
        </w:tabs>
        <w:rPr>
          <w:rFonts w:ascii="Times New Roman" w:hAnsi="Times New Roman" w:eastAsia="Times New Roman"/>
          <w:color w:val="000000"/>
          <w:sz w:val="24"/>
          <w:szCs w:val="24"/>
          <w:lang w:eastAsia="uk-ua"/>
        </w:rPr>
      </w:pPr>
      <w:r>
        <w:rPr>
          <w:rFonts w:ascii="Times New Roman" w:hAnsi="Times New Roman" w:eastAsia="Times New Roman"/>
          <w:color w:val="000000"/>
          <w:sz w:val="24"/>
          <w:szCs w:val="24"/>
          <w:lang w:eastAsia="uk-ua"/>
        </w:rPr>
        <w:t>Державна установа "Агентство з розвитку інфраструктури фондового ринку України"</w:t>
      </w:r>
    </w:p>
    <w:p>
      <w:pPr>
        <w:spacing w:after="0" w:line="257" w:lineRule="auto"/>
        <w:jc w:val="both"/>
        <w:suppressAutoHyphens/>
        <w:hyphenationLines w:val="0"/>
        <w:widowControl w:val="0"/>
        <w:tabs defTabSz="708">
          <w:tab w:val="right" w:pos="7710" w:leader="underscore"/>
          <w:tab w:val="right" w:pos="11514" w:leader="underscore"/>
        </w:tabs>
        <w:rPr>
          <w:rFonts w:ascii="Times New Roman" w:hAnsi="Times New Roman" w:eastAsia="Times New Roman"/>
          <w:color w:val="000000"/>
          <w:sz w:val="24"/>
          <w:szCs w:val="24"/>
          <w:lang w:eastAsia="uk-ua"/>
        </w:rPr>
      </w:pPr>
      <w:r>
        <w:rPr>
          <w:rFonts w:ascii="Times New Roman" w:hAnsi="Times New Roman" w:eastAsia="Times New Roman"/>
          <w:color w:val="000000"/>
          <w:sz w:val="24"/>
          <w:szCs w:val="24"/>
          <w:lang w:eastAsia="uk-ua"/>
        </w:rPr>
        <w:t>Ідентифікаційний код юридичної особи : 21676262</w:t>
      </w:r>
    </w:p>
    <w:p>
      <w:pPr>
        <w:spacing w:after="0" w:line="257" w:lineRule="auto"/>
        <w:jc w:val="both"/>
        <w:suppressAutoHyphens/>
        <w:hyphenationLines w:val="0"/>
        <w:widowControl w:val="0"/>
        <w:tabs defTabSz="708">
          <w:tab w:val="right" w:pos="7710" w:leader="underscore"/>
          <w:tab w:val="right" w:pos="11514" w:leader="underscore"/>
        </w:tabs>
        <w:rPr>
          <w:rFonts w:ascii="Times New Roman" w:hAnsi="Times New Roman" w:eastAsia="Times New Roman"/>
          <w:color w:val="000000"/>
          <w:sz w:val="24"/>
          <w:szCs w:val="24"/>
          <w:lang w:eastAsia="uk-ua"/>
        </w:rPr>
      </w:pPr>
      <w:r>
        <w:rPr>
          <w:rFonts w:ascii="Times New Roman" w:hAnsi="Times New Roman" w:eastAsia="Times New Roman"/>
          <w:color w:val="000000"/>
          <w:sz w:val="24"/>
          <w:szCs w:val="24"/>
          <w:lang w:eastAsia="uk-ua"/>
        </w:rPr>
        <w:t>Країна реєстрації : Україна</w:t>
      </w:r>
    </w:p>
    <w:p>
      <w:pPr>
        <w:spacing w:after="0" w:line="257" w:lineRule="auto"/>
        <w:jc w:val="both"/>
        <w:suppressAutoHyphens/>
        <w:hyphenationLines w:val="0"/>
        <w:widowControl w:val="0"/>
        <w:tabs defTabSz="708">
          <w:tab w:val="right" w:pos="7710" w:leader="underscore"/>
          <w:tab w:val="right" w:pos="11514" w:leader="underscore"/>
        </w:tabs>
        <w:rPr>
          <w:rFonts w:ascii="Times New Roman" w:hAnsi="Times New Roman" w:eastAsia="Times New Roman"/>
          <w:color w:val="000000"/>
          <w:sz w:val="24"/>
          <w:szCs w:val="24"/>
          <w:lang w:eastAsia="uk-ua"/>
        </w:rPr>
      </w:pPr>
      <w:r>
        <w:rPr>
          <w:rFonts w:ascii="Times New Roman" w:hAnsi="Times New Roman" w:eastAsia="Times New Roman"/>
          <w:color w:val="000000"/>
          <w:sz w:val="24"/>
          <w:szCs w:val="24"/>
          <w:lang w:eastAsia="uk-ua"/>
        </w:rPr>
        <w:t xml:space="preserve">Номер свідоцтва : </w:t>
      </w:r>
      <w:r>
        <w:rPr>
          <w:rFonts w:ascii="Times New Roman" w:hAnsi="Times New Roman" w:eastAsia="Times New Roman"/>
          <w:color w:val="000000"/>
          <w:sz w:val="24"/>
          <w:szCs w:val="24"/>
          <w:lang w:val="en-us" w:eastAsia="uk-ua"/>
        </w:rPr>
        <w:t>DR</w:t>
      </w:r>
      <w:r>
        <w:rPr>
          <w:rFonts w:ascii="Times New Roman" w:hAnsi="Times New Roman" w:eastAsia="Times New Roman"/>
          <w:color w:val="000000"/>
          <w:sz w:val="24"/>
          <w:szCs w:val="24"/>
          <w:lang w:eastAsia="uk-ua"/>
        </w:rPr>
        <w:t>/00001/</w:t>
      </w:r>
      <w:r>
        <w:rPr>
          <w:rFonts w:ascii="Times New Roman" w:hAnsi="Times New Roman" w:eastAsia="Times New Roman"/>
          <w:color w:val="000000"/>
          <w:sz w:val="24"/>
          <w:szCs w:val="24"/>
          <w:lang w:val="en-us" w:eastAsia="uk-ua"/>
        </w:rPr>
        <w:t>APA</w:t>
      </w:r>
      <w:r>
        <w:rPr>
          <w:rFonts w:ascii="Times New Roman" w:hAnsi="Times New Roman" w:eastAsia="Times New Roman"/>
          <w:color w:val="000000"/>
          <w:sz w:val="24"/>
          <w:szCs w:val="24"/>
          <w:lang w:eastAsia="uk-ua"/>
        </w:rPr>
      </w:r>
    </w:p>
    <w:p>
      <w:pPr>
        <w:spacing w:after="0" w:line="257" w:lineRule="auto"/>
        <w:jc w:val="both"/>
        <w:suppressAutoHyphens/>
        <w:hyphenationLines w:val="0"/>
        <w:widowControl w:val="0"/>
        <w:tabs defTabSz="708">
          <w:tab w:val="right" w:pos="7710" w:leader="underscore"/>
          <w:tab w:val="right" w:pos="11514" w:leader="underscor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r>
    </w:p>
    <w:p>
      <w:pPr>
        <w:spacing w:after="0" w:line="257" w:lineRule="auto"/>
        <w:jc w:val="both"/>
        <w:suppressAutoHyphens/>
        <w:hyphenationLines w:val="0"/>
        <w:widowControl w:val="0"/>
        <w:tabs defTabSz="708">
          <w:tab w:val="right" w:pos="7710" w:leader="underscore"/>
          <w:tab w:val="right" w:pos="11514" w:leader="underscor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 xml:space="preserve">Особа, яка здійснює подання звітності та/або звітних даних до Національної комісії з цінних паперів та фондового ринку: </w:t>
      </w:r>
    </w:p>
    <w:p>
      <w:pPr>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eastAsia="uk-ua"/>
        </w:rPr>
      </w:pPr>
      <w:r>
        <w:rPr>
          <w:rFonts w:ascii="Times New Roman" w:hAnsi="Times New Roman" w:eastAsia="Times New Roman"/>
          <w:color w:val="000000"/>
          <w:sz w:val="24"/>
          <w:szCs w:val="24"/>
          <w:lang w:eastAsia="uk-ua"/>
        </w:rPr>
        <w:t>Державна установа "Агентство з розвитку інфраструктури фондового ринку України"</w:t>
      </w:r>
    </w:p>
    <w:p>
      <w:pPr>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eastAsia="uk-ua"/>
        </w:rPr>
      </w:pPr>
      <w:r>
        <w:rPr>
          <w:rFonts w:ascii="Times New Roman" w:hAnsi="Times New Roman" w:eastAsia="Times New Roman"/>
          <w:color w:val="000000"/>
          <w:sz w:val="24"/>
          <w:szCs w:val="24"/>
          <w:lang w:eastAsia="uk-ua"/>
        </w:rPr>
        <w:t>Ідентифікаційний код юридичної особи : 21676262</w:t>
      </w:r>
    </w:p>
    <w:p>
      <w:pPr>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eastAsia="uk-ua"/>
        </w:rPr>
      </w:pPr>
      <w:r>
        <w:rPr>
          <w:rFonts w:ascii="Times New Roman" w:hAnsi="Times New Roman" w:eastAsia="Times New Roman"/>
          <w:color w:val="000000"/>
          <w:sz w:val="24"/>
          <w:szCs w:val="24"/>
          <w:lang w:eastAsia="uk-ua"/>
        </w:rPr>
        <w:t>Країна реєстрації : Україна</w:t>
      </w:r>
    </w:p>
    <w:p>
      <w:pPr>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eastAsia="uk-ua"/>
        </w:rPr>
        <w:t xml:space="preserve">Номер свідоцтва : </w:t>
      </w:r>
      <w:r>
        <w:rPr>
          <w:rFonts w:ascii="Times New Roman" w:hAnsi="Times New Roman" w:eastAsia="Times New Roman"/>
          <w:color w:val="000000"/>
          <w:sz w:val="24"/>
          <w:szCs w:val="24"/>
          <w:lang w:val="en-us" w:eastAsia="uk-ua"/>
        </w:rPr>
        <w:t>DR</w:t>
      </w:r>
      <w:r>
        <w:rPr>
          <w:rFonts w:ascii="Times New Roman" w:hAnsi="Times New Roman" w:eastAsia="Times New Roman"/>
          <w:color w:val="000000"/>
          <w:sz w:val="24"/>
          <w:szCs w:val="24"/>
          <w:lang w:eastAsia="uk-ua"/>
        </w:rPr>
        <w:t>/00002/</w:t>
      </w:r>
      <w:r>
        <w:rPr>
          <w:rFonts w:ascii="Times New Roman" w:hAnsi="Times New Roman" w:eastAsia="Times New Roman"/>
          <w:color w:val="000000"/>
          <w:sz w:val="24"/>
          <w:szCs w:val="24"/>
          <w:lang w:val="en-us" w:eastAsia="uk-ua"/>
        </w:rPr>
        <w:t>ARM</w:t>
      </w:r>
      <w:r>
        <w:rPr>
          <w:rFonts w:ascii="Times New Roman" w:hAnsi="Times New Roman" w:eastAsia="Times New Roman"/>
          <w:color w:val="000000"/>
          <w:sz w:val="24"/>
          <w:szCs w:val="24"/>
          <w:lang w:val="uk-ua" w:eastAsia="uk-ua"/>
        </w:rPr>
      </w:r>
    </w:p>
    <w:p>
      <w:pPr>
        <w:spacing w:before="113"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Дані про дату та місце оприлюднення річної інформації:</w:t>
      </w:r>
    </w:p>
    <w:p>
      <w:pPr>
        <w:spacing w:before="113"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r>
    </w:p>
    <w:tbl>
      <w:tblPr>
        <w:tblStyle w:val="NormalTable"/>
        <w:name w:val="Таблица3"/>
        <w:tabOrder w:val="0"/>
        <w:jc w:val="left"/>
        <w:tblInd w:w="0" w:type="dxa"/>
        <w:tblW w:w="9922" w:type="dxa"/>
        <w:tblLook w:val="0000" w:firstRow="0" w:lastRow="0" w:firstColumn="0" w:lastColumn="0" w:noHBand="0" w:noVBand="0"/>
      </w:tblPr>
      <w:tblGrid>
        <w:gridCol w:w="3443"/>
        <w:gridCol w:w="4286"/>
        <w:gridCol w:w="2193"/>
      </w:tblGrid>
      <w:tr>
        <w:trPr>
          <w:cantSplit w:val="0"/>
          <w:trHeight w:val="60" w:hRule="atLeast"/>
        </w:trPr>
        <w:tc>
          <w:tcPr>
            <w:tcW w:w="1735" w:type="pct"/>
            <w:tmTcPr id="1759223788" protected="0"/>
          </w:tcPr>
          <w:p>
            <w:pPr>
              <w:spacing w:after="0" w:line="257" w:lineRule="auto"/>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t>Річну інформацію розміщено на власному вебсайті емітента</w:t>
            </w:r>
          </w:p>
        </w:tc>
        <w:tc>
          <w:tcPr>
            <w:tcW w:w="2160" w:type="pct"/>
            <w:tmTcPr id="1759223788" protected="0"/>
          </w:tcPr>
          <w:p>
            <w:pPr>
              <w:spacing w:before="17" w:after="0" w:line="257" w:lineRule="auto"/>
              <w:jc w:val="center"/>
              <w:suppressAutoHyphens/>
              <w:hyphenationLines w:val="0"/>
              <w:widowControl w:val="0"/>
              <w:tabs defTabSz="708">
                <w:tab w:val="right" w:pos="7710" w:leader="none"/>
              </w:tabs>
              <w:rPr>
                <w:rFonts w:ascii="Times New Roman" w:hAnsi="Times New Roman" w:eastAsia="Times New Roman"/>
                <w:color w:val="000000"/>
                <w:sz w:val="24"/>
                <w:szCs w:val="24"/>
                <w:u w:color="auto" w:val="single"/>
                <w:lang w:val="uk-ua" w:eastAsia="uk-ua"/>
              </w:rPr>
            </w:pPr>
            <w:r>
              <w:rPr>
                <w:rFonts w:ascii="Times New Roman" w:hAnsi="Times New Roman" w:eastAsia="Times New Roman"/>
                <w:color w:val="000000"/>
                <w:sz w:val="24"/>
                <w:szCs w:val="24"/>
                <w:u w:color="auto" w:val="single"/>
                <w:lang w:val="en-us" w:eastAsia="uk-ua"/>
              </w:rPr>
              <w:t>fakel</w:t>
            </w:r>
            <w:r>
              <w:rPr>
                <w:rFonts w:ascii="Times New Roman" w:hAnsi="Times New Roman" w:eastAsia="Times New Roman"/>
                <w:color w:val="000000"/>
                <w:sz w:val="24"/>
                <w:szCs w:val="24"/>
                <w:u w:color="auto" w:val="single"/>
                <w:lang w:val="uk-ua" w:eastAsia="uk-ua"/>
              </w:rPr>
              <w:t>.</w:t>
            </w:r>
            <w:r>
              <w:rPr>
                <w:rFonts w:ascii="Times New Roman" w:hAnsi="Times New Roman" w:eastAsia="Times New Roman"/>
                <w:color w:val="000000"/>
                <w:sz w:val="24"/>
                <w:szCs w:val="24"/>
                <w:u w:color="auto" w:val="single"/>
                <w:lang w:val="en-us" w:eastAsia="uk-ua"/>
              </w:rPr>
              <w:t>pat</w:t>
            </w:r>
            <w:r>
              <w:rPr>
                <w:rFonts w:ascii="Times New Roman" w:hAnsi="Times New Roman" w:eastAsia="Times New Roman"/>
                <w:color w:val="000000"/>
                <w:sz w:val="24"/>
                <w:szCs w:val="24"/>
                <w:u w:color="auto" w:val="single"/>
                <w:lang w:val="uk-ua" w:eastAsia="uk-ua"/>
              </w:rPr>
              <w:t>.</w:t>
            </w:r>
            <w:r>
              <w:rPr>
                <w:rFonts w:ascii="Times New Roman" w:hAnsi="Times New Roman" w:eastAsia="Times New Roman"/>
                <w:color w:val="000000"/>
                <w:sz w:val="24"/>
                <w:szCs w:val="24"/>
                <w:u w:color="auto" w:val="single"/>
                <w:lang w:val="en-us" w:eastAsia="uk-ua"/>
              </w:rPr>
              <w:t>ua</w:t>
            </w:r>
            <w:r>
              <w:rPr>
                <w:rFonts w:ascii="Times New Roman" w:hAnsi="Times New Roman" w:eastAsia="Times New Roman"/>
                <w:color w:val="000000"/>
                <w:sz w:val="24"/>
                <w:szCs w:val="24"/>
                <w:u w:color="auto" w:val="single"/>
                <w:lang w:val="uk-ua" w:eastAsia="uk-ua"/>
              </w:rPr>
              <w:t xml:space="preserve"> </w:t>
            </w:r>
            <w:r>
              <w:rPr>
                <w:rFonts w:ascii="Times New Roman" w:hAnsi="Times New Roman" w:eastAsia="Times New Roman"/>
                <w:color w:val="000000"/>
                <w:sz w:val="24"/>
                <w:szCs w:val="24"/>
                <w:u w:color="auto" w:val="single"/>
                <w:lang w:val="uk-ua" w:eastAsia="uk-ua"/>
              </w:rPr>
            </w:r>
          </w:p>
          <w:p>
            <w:pPr>
              <w:spacing w:before="17" w:after="0" w:line="257" w:lineRule="auto"/>
              <w:jc w:val="center"/>
              <w:suppressAutoHyphens/>
              <w:hyphenationLines w:val="0"/>
              <w:widowControl w:val="0"/>
              <w:tabs defTabSz="708">
                <w:tab w:val="right" w:pos="771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(URL-адреса вебсайту)</w:t>
            </w:r>
          </w:p>
        </w:tc>
        <w:tc>
          <w:tcPr>
            <w:tcW w:w="1105" w:type="pct"/>
            <w:tmTcPr id="1759223788" protected="0"/>
          </w:tcPr>
          <w:p>
            <w:pPr>
              <w:spacing w:before="17" w:after="0" w:line="257" w:lineRule="auto"/>
              <w:jc w:val="center"/>
              <w:suppressAutoHyphens/>
              <w:hyphenationLines w:val="0"/>
              <w:widowControl w:val="0"/>
              <w:tabs defTabSz="708">
                <w:tab w:val="right" w:pos="7710" w:leader="none"/>
              </w:tabs>
              <w:rPr>
                <w:rFonts w:ascii="Times New Roman" w:hAnsi="Times New Roman" w:eastAsia="Times New Roman"/>
                <w:color w:val="000000"/>
                <w:sz w:val="24"/>
                <w:szCs w:val="24"/>
                <w:u w:color="auto" w:val="single"/>
                <w:lang w:val="uk-ua" w:eastAsia="uk-ua"/>
              </w:rPr>
            </w:pPr>
            <w:r>
              <w:rPr>
                <w:rFonts w:ascii="Times New Roman" w:hAnsi="Times New Roman" w:eastAsia="Times New Roman"/>
                <w:color w:val="000000"/>
                <w:sz w:val="24"/>
                <w:szCs w:val="24"/>
                <w:u w:color="auto" w:val="single"/>
                <w:lang w:val="en-us" w:eastAsia="uk-ua"/>
              </w:rPr>
              <w:t>30.09.2025</w:t>
            </w:r>
            <w:r>
              <w:rPr>
                <w:rFonts w:ascii="Times New Roman" w:hAnsi="Times New Roman" w:eastAsia="Times New Roman"/>
                <w:color w:val="000000"/>
                <w:sz w:val="24"/>
                <w:szCs w:val="24"/>
                <w:u w:color="auto" w:val="single"/>
                <w:lang w:val="uk-ua" w:eastAsia="uk-ua"/>
              </w:rPr>
              <w:t xml:space="preserve"> </w:t>
            </w:r>
            <w:r>
              <w:rPr>
                <w:rFonts w:ascii="Times New Roman" w:hAnsi="Times New Roman" w:eastAsia="Times New Roman"/>
                <w:color w:val="000000"/>
                <w:sz w:val="24"/>
                <w:szCs w:val="24"/>
                <w:u w:color="auto" w:val="single"/>
                <w:lang w:val="uk-ua" w:eastAsia="uk-ua"/>
              </w:rPr>
            </w:r>
          </w:p>
          <w:p>
            <w:pPr>
              <w:spacing w:before="17" w:after="0" w:line="257" w:lineRule="auto"/>
              <w:jc w:val="center"/>
              <w:suppressAutoHyphens/>
              <w:hyphenationLines w:val="0"/>
              <w:widowControl w:val="0"/>
              <w:tabs defTabSz="708">
                <w:tab w:val="right" w:pos="771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(дата)</w:t>
            </w:r>
          </w:p>
        </w:tc>
      </w:tr>
    </w:tbl>
    <w:p>
      <w:pPr>
        <w:sectPr>
          <w:footnotePr>
            <w:pos w:val="pageBottom"/>
            <w:numFmt w:val="decimal"/>
            <w:numStart w:val="1"/>
            <w:numRestart w:val="continuous"/>
          </w:footnotePr>
          <w:endnotePr>
            <w:pos w:val="docEnd"/>
            <w:numFmt w:val="lowerRoman"/>
            <w:numStart w:val="1"/>
            <w:numRestart w:val="continuous"/>
          </w:endnotePr>
          <w:headerReference w:type="default" r:id="rId8"/>
          <w:footerReference w:type="default" r:id="rId9"/>
          <w:type w:val="nextPage"/>
          <w:pgSz w:h="16838" w:w="11906"/>
          <w:pgMar w:left="1418" w:top="340" w:right="567" w:bottom="340"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rPr>
          <w:rFonts w:eastAsia="Times New Roman"/>
          <w:lang w:val="uk-ua" w:eastAsia="uk-ua"/>
        </w:rPr>
      </w:pPr>
      <w:r>
        <w:rPr>
          <w:rFonts w:eastAsia="Times New Roman"/>
          <w:lang w:val="uk-ua" w:eastAsia="uk-ua"/>
        </w:rPr>
      </w:r>
    </w:p>
    <w:p>
      <w:pPr>
        <w:spacing w:before="113" w:after="57" w:line="257" w:lineRule="auto"/>
        <w:jc w:val="center"/>
        <w:suppressAutoHyphens/>
        <w:hyphenationLines w:val="0"/>
        <w:keepNext/>
        <w:keepLines/>
        <w:widowControl w:val="0"/>
        <w:tabs defTabSz="708">
          <w:tab w:val="right" w:pos="771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Пояснення щодо розкриття інформації</w:t>
      </w:r>
    </w:p>
    <w:p>
      <w:pPr>
        <w:spacing w:after="0" w:line="257" w:lineRule="auto"/>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r>
    </w:p>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я щодо ус</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х випуск</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в ц</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в, за якими надається забезпечення (якщо р</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чний зв</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т подається особою, яка надає забезпечення (незалежно в</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д того, чи є особа ем</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тентом)" не розкрита особою у складі річного звіту через те, що річний звіт подає емітент.</w:t>
      </w:r>
      <w:r>
        <w:rPr>
          <w:rFonts w:ascii="Times New Roman" w:hAnsi="Times New Roman" w:eastAsia="Times New Roman"/>
          <w:sz w:val="20"/>
          <w:szCs w:val="20"/>
          <w:lang w:val="uk-ua" w:eastAsia="uk-ua"/>
        </w:rPr>
      </w:r>
    </w:p>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я щодо вс</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б, як</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 xml:space="preserve"> на дають забезпечення за його зобов'язаннями (якщо за зобов'язаннями ем</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тента надаються забезпечення)"  не розкрита особою у складі річного звіту через те, що річний звіт подає емітент.</w:t>
      </w:r>
      <w:r>
        <w:rPr>
          <w:rFonts w:ascii="Times New Roman" w:hAnsi="Times New Roman" w:eastAsia="Times New Roman"/>
          <w:sz w:val="20"/>
          <w:szCs w:val="20"/>
          <w:lang w:val="uk-ua" w:eastAsia="uk-ua"/>
        </w:rPr>
      </w:r>
    </w:p>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я про рейтингове агентство"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r>
        <w:rPr>
          <w:rFonts w:ascii="Times New Roman" w:hAnsi="Times New Roman" w:eastAsia="Times New Roman"/>
          <w:sz w:val="20"/>
          <w:szCs w:val="20"/>
          <w:lang w:val="uk-ua" w:eastAsia="uk-ua"/>
        </w:rPr>
      </w:r>
    </w:p>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я про судов</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 xml:space="preserve"> справи"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r>
        <w:rPr>
          <w:rFonts w:ascii="Times New Roman" w:hAnsi="Times New Roman" w:eastAsia="Times New Roman"/>
          <w:sz w:val="20"/>
          <w:szCs w:val="20"/>
          <w:lang w:val="uk-ua" w:eastAsia="uk-ua"/>
        </w:rPr>
      </w:r>
    </w:p>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я про штрафн</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 xml:space="preserve"> санкц</w:t>
      </w:r>
      <w:r>
        <w:rPr>
          <w:rFonts w:ascii="Times New Roman" w:hAnsi="Times New Roman" w:eastAsia="Times New Roman"/>
          <w:sz w:val="20"/>
          <w:szCs w:val="20"/>
          <w:lang w:val="en-us" w:eastAsia="uk-ua"/>
        </w:rPr>
        <w:t>i</w:t>
      </w:r>
      <w:r>
        <w:rPr>
          <w:rFonts w:ascii="Times New Roman" w:hAnsi="Times New Roman" w:eastAsia="Times New Roman"/>
          <w:sz w:val="20"/>
          <w:szCs w:val="20"/>
          <w:lang w:val="uk-ua" w:eastAsia="uk-ua"/>
        </w:rPr>
        <w:t>ї щодо особи" не розкрита особою у складі річного звіту через те, що протягом звітного періоду особа не мала штрафних санкцій в розмірі,  який перевищує 1000 грн.</w:t>
      </w:r>
      <w:r>
        <w:rPr>
          <w:rFonts w:ascii="Times New Roman" w:hAnsi="Times New Roman" w:eastAsia="Times New Roman"/>
          <w:sz w:val="20"/>
          <w:szCs w:val="20"/>
          <w:lang w:val="uk-ua" w:eastAsia="uk-ua"/>
        </w:rPr>
      </w:r>
    </w:p>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корпоративного секретаря" не розкрита особою у складі річного звіту через те, що на кінець звітного періоду особа не мала  корпоративного секретаря.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отриманих особою 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ценз</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не розкрита особою у складі річного звіту через те, що на кінець звітного періоду особа не мала жодної ліцензії.</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зобов'язання та забезпечення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Кредити банку у тому числ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не розкрита особою у складі річного звіту через те, що на кінець звітного періоду особа не мала кредитів.</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зобов'язання та забезпечення особи. Зобов'язання за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у тому числ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за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ями (за кожним власним випуском)" не розкрита особою у складі річного звіту через те, що на кінець звітного періоду особа не мала зобов'язань за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(облігаціями).</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зобов'язання та забезпечення особи. Зобов'язання за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у тому числ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потечними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нними паперами (за кожним власним випуском)" не розкрита особою у складі річного звіту через те, що на кінець звітного періоду особа не мала зобов'язань за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потечними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зобов'язання та забезпечення особи. Зобов'язання за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за сертиф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катами ФОН (за кожним власним випуском)" не розкрита особою у складі річного звіту через те, що на кінець звітного періоду особа не мала зобов'язаннь за сертиф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катами ФОН.</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зобов'язання та забезпечення особи. Зобов'язання за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за векселями (всього)" не розкрита особою у складі річного звіту через те, що на кінець звітного періоду особа не мала зобов'язаннь за векселями.</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зобов'язання та забезпечення особи. Зобов'язання за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у тому числ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ншими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(у тому числ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 пох</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дними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нними паперами) (за кожним видом)" не розкрита особою у складі річного звіту через те, що на кінець звітного періоду особа не мала зобов'язаннь за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ншими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(у тому числ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 пох</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дними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зобов'язання та забезпечення особи. Зобов'язання за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у тому числ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за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нансовими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нвестиц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ями в корпоративн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права (за кожним видом)" не розкрита особою у складі річного звіту через те, що на кінець звітного періоду особа не мала зобов'язаннь за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нансовими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нвестиц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ями в корпоративн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права.</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зобов'язання та забезпечення особи.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нансова допомога на зворотн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основ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не розкрита особою у складі річного звіту через те, що на кінець звітного періоду особа не мала зобов'язаннь по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нансовій допомозі на зворотн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основ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домост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про участь в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нших юридичних особах" не розкрита особою у складі річного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докремлен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дрозд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 не розкрита особою у складі річного звіту через те, що на кінець звітного періоду особа не мала відокремилених підрозділів.</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ни прав на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не розкрита особою у складі річного звіту через те, що протягом звітного періоду особа не мала випадків змін прав на акції.</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не розкрита особою у складі річного звіту через те, що на кінець звітного періоду особа не мала зареєстрованих випусків облігацій.</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я про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папери" не розкрита особою у складі річного звіту через те, що на кінець звітного періоду особа не мала зареєстрованих випусків інших цінних паперів.</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деривативн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папери" не розкрита особою у складі річного звіту через те, що на кінець звітного періоду особа не мала зареєстрованих випусків деривативних цінних паперів.</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забезпечення випуску боргових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не розкрита особою у складі річного звіту через те, що на кінець звітного періоду особа не мала зареєстованих випусків боргових цінних паперів, за якими надається забеспечення.</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стан об'єкта нерухомост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(у раз</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льових корпоративних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виконання зобов'язань за якими зд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йснюється шляхом об'єкта (частини об'єкта) житлового буд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вництва)" не розкрита особою у складі річного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йснюється шляхом об'єкта (частини об'єкта) житлового буд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вництва.</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придбання власних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протягом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тного 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оду" не розкрита особою у складі річного звіту через те, що протягом звітного періоду особа не мала випадків придбання власних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наявн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у власност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особи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(кр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м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такої особи" не розкрита особою у складі річного звіту через те, що на кінець звітного періоду у працівників особи не має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(кр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м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такої особи.</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наявн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у власност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особи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(кр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м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такої особи: Усього" не розкрита особою у складі річного звіту через те, що на кінець звітного періоду у працівників особи не має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(кр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м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такої особи.</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наявн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у власност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особи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у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понад 0,1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дсотка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ру статутного кап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талу" не розкрита особою у складі річного звіту через те, що на кінець звітного періоду особа не мала у власност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особи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у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понад 0,1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дсотка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ру статутного кап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талу.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наявн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у власност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особи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у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понад 0,1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дсотка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ру статутного кап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талу: Усього" не розкрита особою у складі річного звіту через те, що на кінець звітного періоду особа не мала у власност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особи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у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понад 0,1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дсотка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ру статутного кап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талу.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будь-як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обмеження щодо 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гу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особи, в тому числ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необх</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отримання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д особи або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нших власник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згоди на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дчуження таких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не розкрита особою у складі річного звіту через те, що на кінець звітного періоду особа не мала будь-яких обмеженнь щодо 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гу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особи, в тому числ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необх</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отримання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д особи або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нших власник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згоди на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дчуження таких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домост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про 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ну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яким належать голосуюч</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 пакета яких стає 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льшим, меншим або 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вним пороговому значенню пакета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домост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про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входять до ланцюга волод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ння корпоративними правами юридичної особи, через яких особа (особи, що 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ють сп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льно) зд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йснює розпорядження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ями"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"Річна фінансова звітність (</w:t>
      </w:r>
      <w:r>
        <w:rPr>
          <w:rFonts w:ascii="Times New Roman" w:hAnsi="Times New Roman" w:eastAsia="Times New Roman"/>
          <w:sz w:val="20"/>
          <w:szCs w:val="20"/>
          <w:lang w:val="en-us" w:eastAsia="uk-ua"/>
        </w:rPr>
        <w:t>URL</w:t>
      </w:r>
      <w:r>
        <w:rPr>
          <w:rFonts w:ascii="Times New Roman" w:hAnsi="Times New Roman" w:eastAsia="Times New Roman"/>
          <w:sz w:val="20"/>
          <w:szCs w:val="20"/>
          <w:lang w:eastAsia="uk-ua"/>
        </w:rPr>
        <w:t>-адреса вебсайту особи, за якою розміщено річну фінансову звітність особи )" не розкрита особою у складі річного звіту через те, що особа подає річну фінансову звітність у складі звіту.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"Дов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дка щодо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домостей про аудиторський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щодо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нансової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тний 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 не розкрита особою у складі річного звіту через те, що  особа не здійснювала аудит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нансової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тний 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домост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про прийняття 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шення про попереднє надання згоди на вчинення значних правочин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домост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про вчинення значних правочин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не розкрита особою у складі річного звіту через те, що згідно п.48 "Положення про розкриття інформації про розкриття інформації емітентами </w:t>
      </w:r>
      <w:r>
        <w:rPr>
          <w:rFonts w:ascii="Times New Roman" w:hAnsi="Times New Roman" w:eastAsia="Times New Roman"/>
          <w:sz w:val="20"/>
          <w:szCs w:val="20"/>
          <w:lang w:eastAsia="uk-ua"/>
        </w:rPr>
        <w:t>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домост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про вчинення правочин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щодо вчинення яких є за</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нтересован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платеж</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на користь держави"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кер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вництва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ння)" не розкрита особою у складі річного звіту через те, що за звітний період особа має підстави не складати та оприлюднювати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кер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вництва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ння)".</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корпоративне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практику корпоративного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ння особи, застосовувану понад визначен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законодавством вимоги. Рада директор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не розкрита особою у складі річного звіту через те, що протягом  звітного періоду особа не користувалася практикою корпоративного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ння особи, яка застосована понад визначен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законодавством вимоги.</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корпоративне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збори власник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та загальний опис прийнятих на таких зборах 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шень" не розкрита особою у складі річного звіту через те, що протягом  звітного періоду особа не скликала та не проводила збори власник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Комітети у складі Ради не створювались.</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корпоративне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ння. Виконавчий орган.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проведен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дання ком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колег</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ального виконавчого органу та загальний опис прийнятих 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шень" не розкрита особою у складі річного звіту через те, що протягом звітного періоду особа не проводила засідань комітетів колегіального виконавчого органу.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корпоративне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ння. Виконавчий орган.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одноос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бний виконавчий орган та загальний опис прийнятих 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шень" не розкрита особою у складі річного звіту через те, що на кінець звітного періоду особа не мала одноосібного виконавчого органу.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корпоративне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корпоративного секретаря, а також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щодо результат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його 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яльност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не розкрита особою у складі річного звіту через те, що на кінець звітного періоду особа не мала корпоративного секретаря.</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корпоративне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порядку призначення /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льнення посадових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(кр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м ради та виконавчого органу) особи" не розкрита особою у складі річного звіту через те, що на кінець звітного періоду особа не мала внутрішнього документу особи, в якому визначено порядок призначення /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льнення посадових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(кр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м ради та виконавчого органу) особи.</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корпоративне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радника" не розкрита особою у складі річного звіту через те, що на кінець звітного періоду особа не мала радника.</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корпоративне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суб'єкта аудиторської 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яльност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 урахуванням вимог, передбачених пунктом 45 Положення" не розкрита особою у складі річного звіту через те, що протягом звітного періоду особа не проводила аудит з урахуванням вимог, передбачених пунктом 45 Положення.</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корпоративне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передбачена законодавством про 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яльн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та регулювання 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яльност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на ринку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нансових послуг" не розкрита особою у складі річного звіту через те, що на кінець звітного періоду особа не є фінансовою установою.</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про сталий розвиток" не розкривається, оск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льки Товариство не є емітентом, перел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 яких визначено підпунктами 1-4 пункту 48 Положення про розкриття інформації емітентами цінних паперів, а також особами,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надають забезпечення за такими цінними паперами,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06.06.2023 року № 608.</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наявност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 структур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власност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сцем реєстрац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ї яких є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ноземн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держави зони ризику" не розкрита особою у складі річного звіту через те, що на кінець звітного періоду особа не мала в структур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власност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сцем реєстрац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ї яких є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ноземн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держави зони ризику.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"Перел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 засновник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учасник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що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дноситься до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щодо наявност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 структур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власност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сцем реєстрац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ї яких є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ноземн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держави зони ризику" не розкрита особою у складі річного звіту через те, що на кінець звітного періоду особа не мала в структур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власност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сцем реєстрац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ї яких є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ноземн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держави зони ризику.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наявност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 органах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ння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зичних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мають громадянство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ноземної держави зони ризику" не розкрита особою у складі річного звіту через те, що на кінець звітного періоду особа не мала  в органах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ння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зичних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мають громадянство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ноземної держави зони ризику.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наявност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у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лових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дносин з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єнтами/контрагентами держави зони ризику або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єнтами/контрагентами,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контролюються державою зони ризику для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в/контрагент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не розкрита особою у складі річного звіту через те, що на кінець звітного періоду  особа не мала 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лових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дносин з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єнтами/контрагентами держави зони ризику або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єнтами/контрагентами,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контролюються державою зони ризику для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в/контрагент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наявност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у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лових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дносин з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єнтами/контрагентами держави зони ризику або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єнтами/контрагентами,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контролюються державою зони ризику для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в/контрагент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зичних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не розкрита особою у складі річного звіту через те, що на кінець звітного періоду  особа не мала 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лових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дносин з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єнтами/контрагентами держави зони ризику або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єнтами/контрагентами,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контролюються державою зони ризику для кл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єнт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в/контрагент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зичних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розташування доч</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х компан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дприємств,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представництв та/або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нших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докремлених структурних 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дрозд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на територ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держави зони ризику" не розкрита особою у складі річного звіту через те, що на кінець звітного періоду  особа не мала доч</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х компан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дприємств,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представництв та/або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нших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докремлених структурних 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дрозд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розташованих на територ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держави зони ризику.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наявност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засновником, учасником,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онером яких є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онером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разом з особами, визначеними пп.1-3 п.47 Положення.</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"Перел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 засновник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учасник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що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дноситься до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щодо наявност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засновником, учасником,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онером яких є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онером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разом з особами, визначеними пп.1-3 п.47 Положення.</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наявност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у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корпоративних прав в юридичн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особ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зареєстрован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в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ноземн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держав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зони ризику" не розкрита особою у складі річного звіту через те, що на кінець звітного періоду  особа не мала  корпоративних прав в юридичн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особ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зареєстрован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в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ноземн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держав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зони ризику.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наявност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у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(кр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м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юридичної особи, яка зареєстрована в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ноземн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держав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зони ризику" не розкрита особою у складі річного звіту через те, що на кінець звітного періоду  особа не мала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(кр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м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юридичної особи, яка зареєстрована в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ноземн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держав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зони ризику.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"Корпоративн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та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договори.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корпоративн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договори, укладен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онерами (учасниками) особи, яка наявна в особи" не розкрита особою у складі річного звіту через те, що особа  не має  корпоративних/акціонерних договорів, укладених акціонерами (учасниками) особи, які були б укладені, набрали чинності або діяли протягом звітного періоду.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"Корпоративн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та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договори.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будь-як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договори та/або правочини, умовою чинност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яких є незм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йснюють контроль над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тентом" не розкрита особою у складі річного звіту через те, що особа  не мала  договорів та/або правочинів, умовою чинност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яких є незм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йснюють контроль над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тентом, які укладені, набрали чинності або діяли протягом звітного періоду.</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будь-як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винагороди або компенсац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мають бути виплачен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посадовим особам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тента в раз</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їх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льнення"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"Див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дендна пол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тика" не розкрита особою у складі річного звіту через те, що на кінець звітного періоду особа не мала внутрішнього документа,  який визначає дивідендну політику особи.</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"Див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денди.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виплату див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денд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та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нших доход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за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у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тному роц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не розкрита особою у складі річного звіту через те, що протягом звітного періоду дивіденди не нараховувалися та не сплачувалися.</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виплату див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денд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та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нших доход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за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у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тному роц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(суми перерахованих/в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дправлених див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денд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на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дну дату)" не розкрита особою у складі річного звіту через те, що протягом звітного періоду дивіденди не нараховувалися та не сплачувалися.</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я щодо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ну прав власник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депозитарних розписок за такими деривативними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нними паперами у зв'язку з</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ною прав за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ями, що є базовим активом таких деривативних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не розкрита особою у складі річного звіту через те, що за звітний період особа не здійснювала емісії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я про випуски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не розкрита особою у складі річного звіту через те, що за звітний період особа не здійснювала емісії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р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потечного покриття та його сп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дношення з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ром (сумою) зобов'язань за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потечними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ями з цим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потечним покриттям" не розкрита особою у складі річного звіту через те, що за звітний період особа не здійснювала емісії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сп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дношення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ру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потечного покриття з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ром (сумою) зобов'язань за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потечними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ями з цим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потечним покриттям на кожну дату 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сля зам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актив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у склад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потечного покриття,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дбувались протягом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тного періоду не розкрита особою у складі річного звіту через те, що за звітний період особа не здійснювала емісії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зам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ни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актив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у склад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потечного покриття або включення нових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актив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до складу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потечного покриття (за кожним випуском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не розкрита особою у складі річного звіту через те, що за звітний період особа не здійснювала емісії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домост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про структуру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потечного покриття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за видами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актив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та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нших актив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на 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нець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тного 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оду" не розкрита особою у складі річного звіту через те, що за звітний період особа не здійснювала емісії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домост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щодо 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дстав виникнення у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тента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прав на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активи,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складають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потечне покриття за станом на 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нець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тного року" не розкрита особою у складі річного звіту через те, що за звітний період особа не здійснювала емісії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наявн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прострочених боржником строк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сплати чергових платеж</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за кредитними договорами (договорами позики), права вимоги за якими забезпечено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потеками,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включено до складу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потечного покриття" не розкрита особою у складі річного звіту через те, що за звітний період особа не здійснювала емісії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сертиф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кат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ФОН.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домост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про зам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ну адм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стратора за випуском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 управителя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потечних актив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 не розкрита особою у складі річного звіту через те, що за звітний період особа не здійснювала емісії сертифікатів ФОН.</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"Основн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домост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про ФОН" не розкрита особою у складі річного звіту через те, що за звітний період особа не здійснювала емісії сертифікатів ФОН.</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випуски сертиф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кат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ФОН" не розкрита особою у складі річного звіту через те, що за звітний період особа не здійснювала емісії сертифікатів ФОН.</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що волод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ють сертиф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катами ФОН. Юридичн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особи власники сертиф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кат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ФОН" не розкрита особою у складі річного звіту через те, що за звітний період особа не здійснювала емісії сертифікатів ФОН.</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що волод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ють сертиф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катами ФОН.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зичн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особи власники сертиф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кат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ФОН" не розкрита особою у складі річного звіту через те, що за звітний період особа здійснювала емісії сертифікатів ФОН.</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що волод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ють сертиф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катами ФОН. Усього" не розкрита особою у складі річного звіту через те, що за звітний період особа не здійснювала емісії сертифікатів ФОН.</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"Розрахунок вартост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чистих актив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ФОН (на 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нець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тного 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оду)" не розкрита особою у складі річного звіту через те, що за звітний період особа не здійснювала емісії сертифікатів ФОН.</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"Правила ФОН" не розкрита особою у складі річного звіту через те, що за звітний період особа не здійснювала емісії сертифікатів ФОН.</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Складова змісту річної інформації "Список посилань на регульовану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ю, яка була розкрита протягом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тного 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оду" не розкрита особою у складі річного звіту через те, що за звітний період особа не розкривала регульовану інформацію.</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Складова змісту річної інформації "Р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чна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нансова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поручителя (страховика/гаранта), що зд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йснює забезпечення випуску боргових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нних папер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не розкрита особою у складі річного звіту через те, що на кінець звітного періоду особа не є поручителем (страховиком/гарантом).</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en-us" w:eastAsia="uk-ua"/>
        </w:rPr>
      </w:pPr>
      <w:r>
        <w:rPr>
          <w:rFonts w:ascii="Times New Roman" w:hAnsi="Times New Roman" w:eastAsia="Times New Roman"/>
          <w:b/>
          <w:color w:val="000000"/>
          <w:sz w:val="24"/>
          <w:szCs w:val="24"/>
          <w:lang w:val="uk-ua" w:eastAsia="uk-ua"/>
        </w:rPr>
        <w:t>Зміст</w:t>
      </w:r>
      <w:r>
        <w:rPr>
          <w:rFonts w:ascii="Times New Roman" w:hAnsi="Times New Roman" w:eastAsia="Times New Roman"/>
          <w:b/>
          <w:color w:val="000000"/>
          <w:sz w:val="24"/>
          <w:szCs w:val="24"/>
          <w:vertAlign w:val="superscript"/>
          <w:lang w:val="uk-ua" w:eastAsia="uk-ua"/>
        </w:rPr>
        <w:t xml:space="preserve"> </w:t>
      </w:r>
      <w:r>
        <w:rPr>
          <w:rFonts w:ascii="Times New Roman" w:hAnsi="Times New Roman" w:eastAsia="Times New Roman"/>
          <w:b/>
          <w:color w:val="000000"/>
          <w:sz w:val="24"/>
          <w:szCs w:val="24"/>
          <w:lang w:val="uk-ua" w:eastAsia="uk-ua"/>
        </w:rPr>
        <w:t>до річного звіту</w:t>
      </w:r>
      <w:r>
        <w:rPr>
          <w:rFonts w:ascii="Times New Roman" w:hAnsi="Times New Roman" w:eastAsia="Times New Roman"/>
          <w:color w:val="000000"/>
          <w:sz w:val="24"/>
          <w:szCs w:val="24"/>
          <w:lang w:val="en-us" w:eastAsia="uk-ua"/>
        </w:rPr>
      </w:r>
    </w:p>
    <w:p>
      <w:pPr>
        <w:spacing w:after="0" w:line="257" w:lineRule="auto"/>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r>
    </w:p>
    <w:p>
      <w:pPr>
        <w:pStyle w:val="para17"/>
        <w:tabs defTabSz="708">
          <w:tab w:val="right" w:pos="9912" w:leader="dot"/>
        </w:tabs>
      </w:pPr>
      <w:r>
        <w:fldChar w:fldCharType="begin"/>
      </w:r>
      <w:r>
        <w:instrText xml:space="preserve"> TOC \o \z \h </w:instrText>
      </w:r>
      <w:r>
        <w:fldChar w:fldCharType="separate"/>
      </w:r>
      <w:hyperlink w:anchor="_Toc210042927" w:history="1">
        <w:r>
          <w:rPr>
            <w:rStyle w:val="char19"/>
            <w:rFonts w:ascii="Times New Roman" w:hAnsi="Times New Roman" w:eastAsia="Times New Roman"/>
            <w:b/>
            <w:bCs/>
            <w:color w:val="auto"/>
            <w:kern w:val="0"/>
            <w:u w:color="auto" w:val="none"/>
            <w:lang w:val="uk-ua" w:eastAsia="uk-ua"/>
          </w:rPr>
          <w:t>I. Загальна інформація</w:t>
        </w:r>
        <w:r>
          <w:tab/>
        </w:r>
        <w:r>
          <w:fldChar w:fldCharType="begin"/>
          <w:instrText xml:space="preserve"> PAGEREF _Toc210042927 \h \* Arabic </w:instrText>
          <w:fldChar w:fldCharType="separate"/>
          <w:t>7</w:t>
          <w:fldChar w:fldCharType="end"/>
        </w:r>
      </w:hyperlink>
    </w:p>
    <w:p>
      <w:pPr>
        <w:pStyle w:val="para17"/>
        <w:tabs defTabSz="708">
          <w:tab w:val="right" w:pos="9912" w:leader="dot"/>
        </w:tabs>
      </w:pPr>
      <w:hyperlink w:anchor="_Toc210042928" w:history="1">
        <w:r>
          <w:rPr>
            <w:rStyle w:val="char19"/>
            <w:rFonts w:ascii="Times New Roman" w:hAnsi="Times New Roman" w:eastAsia="Times New Roman"/>
            <w:b/>
            <w:bCs/>
            <w:color w:val="auto"/>
            <w:kern w:val="0"/>
            <w:u w:color="auto" w:val="none"/>
            <w:lang w:val="uk-ua" w:eastAsia="uk-ua"/>
          </w:rPr>
          <w:t>1. Ідентифікаційні дані та загальна інформація</w:t>
        </w:r>
        <w:r>
          <w:tab/>
        </w:r>
        <w:r>
          <w:fldChar w:fldCharType="begin"/>
          <w:instrText xml:space="preserve"> PAGEREF _Toc210042928 \h \* Arabic </w:instrText>
          <w:fldChar w:fldCharType="separate"/>
          <w:t>7</w:t>
          <w:fldChar w:fldCharType="end"/>
        </w:r>
      </w:hyperlink>
    </w:p>
    <w:p>
      <w:pPr>
        <w:pStyle w:val="para17"/>
        <w:tabs defTabSz="708">
          <w:tab w:val="right" w:pos="9912" w:leader="dot"/>
        </w:tabs>
      </w:pPr>
      <w:hyperlink w:anchor="_Toc210042929" w:history="1">
        <w:r>
          <w:rPr>
            <w:rStyle w:val="char19"/>
            <w:rFonts w:ascii="Times New Roman" w:hAnsi="Times New Roman" w:eastAsia="Times New Roman"/>
            <w:b/>
            <w:bCs/>
            <w:color w:val="auto"/>
            <w:kern w:val="0"/>
            <w:u w:color="auto" w:val="none"/>
            <w:lang w:val="uk-ua" w:eastAsia="uk-ua"/>
          </w:rPr>
          <w:t>2. Органи управління та посадові особи. Організаційна структура</w:t>
        </w:r>
        <w:r>
          <w:tab/>
        </w:r>
        <w:r>
          <w:fldChar w:fldCharType="begin"/>
          <w:instrText xml:space="preserve"> PAGEREF _Toc210042929 \h \* Arabic </w:instrText>
          <w:fldChar w:fldCharType="separate"/>
          <w:t>10</w:t>
          <w:fldChar w:fldCharType="end"/>
        </w:r>
      </w:hyperlink>
    </w:p>
    <w:p>
      <w:pPr>
        <w:pStyle w:val="para17"/>
        <w:tabs defTabSz="708">
          <w:tab w:val="right" w:pos="9912" w:leader="dot"/>
        </w:tabs>
      </w:pPr>
      <w:hyperlink w:anchor="_Toc210042930" w:history="1">
        <w:r>
          <w:rPr>
            <w:rStyle w:val="char19"/>
            <w:rFonts w:ascii="Times New Roman" w:hAnsi="Times New Roman" w:eastAsia="Times New Roman"/>
            <w:b/>
            <w:bCs/>
            <w:color w:val="auto"/>
            <w:kern w:val="0"/>
            <w:u w:color="auto" w:val="none"/>
            <w:lang w:eastAsia="uk-ua"/>
          </w:rPr>
          <w:t xml:space="preserve">3. </w:t>
        </w:r>
        <w:r>
          <w:rPr>
            <w:rStyle w:val="char19"/>
            <w:rFonts w:ascii="Times New Roman" w:hAnsi="Times New Roman" w:eastAsia="Times New Roman"/>
            <w:b/>
            <w:bCs/>
            <w:color w:val="auto"/>
            <w:kern w:val="0"/>
            <w:u w:color="auto" w:val="none"/>
            <w:lang w:val="uk-ua" w:eastAsia="uk-ua"/>
          </w:rPr>
          <w:t>Структура власності</w:t>
        </w:r>
        <w:r>
          <w:tab/>
        </w:r>
        <w:r>
          <w:fldChar w:fldCharType="begin"/>
          <w:instrText xml:space="preserve"> PAGEREF _Toc210042930 \h \* Arabic </w:instrText>
          <w:fldChar w:fldCharType="separate"/>
          <w:t>14</w:t>
          <w:fldChar w:fldCharType="end"/>
        </w:r>
      </w:hyperlink>
    </w:p>
    <w:p>
      <w:pPr>
        <w:pStyle w:val="para17"/>
        <w:tabs defTabSz="708">
          <w:tab w:val="right" w:pos="9912" w:leader="dot"/>
        </w:tabs>
      </w:pPr>
      <w:hyperlink w:anchor="_Toc210042931" w:history="1">
        <w:r>
          <w:rPr>
            <w:rStyle w:val="char19"/>
            <w:rFonts w:ascii="Times New Roman" w:hAnsi="Times New Roman" w:eastAsia="Times New Roman"/>
            <w:b/>
            <w:bCs/>
            <w:color w:val="auto"/>
            <w:kern w:val="0"/>
            <w:u w:color="auto" w:val="none"/>
            <w:lang w:eastAsia="uk-ua"/>
          </w:rPr>
          <w:t xml:space="preserve">4. </w:t>
        </w:r>
        <w:r>
          <w:rPr>
            <w:rStyle w:val="char19"/>
            <w:rFonts w:ascii="Times New Roman" w:hAnsi="Times New Roman" w:eastAsia="Times New Roman"/>
            <w:b/>
            <w:bCs/>
            <w:color w:val="auto"/>
            <w:kern w:val="0"/>
            <w:u w:color="auto" w:val="none"/>
            <w:lang w:val="uk-ua" w:eastAsia="uk-ua"/>
          </w:rPr>
          <w:t>Опис господарської та фінансової діяльності</w:t>
        </w:r>
        <w:r>
          <w:tab/>
        </w:r>
        <w:r>
          <w:fldChar w:fldCharType="begin"/>
          <w:instrText xml:space="preserve"> PAGEREF _Toc210042931 \h \* Arabic </w:instrText>
          <w:fldChar w:fldCharType="separate"/>
          <w:t>14</w:t>
          <w:fldChar w:fldCharType="end"/>
        </w:r>
      </w:hyperlink>
    </w:p>
    <w:p>
      <w:pPr>
        <w:pStyle w:val="para17"/>
        <w:tabs defTabSz="708">
          <w:tab w:val="right" w:pos="9912" w:leader="dot"/>
        </w:tabs>
      </w:pPr>
      <w:hyperlink w:anchor="_Toc210042932" w:history="1">
        <w:r>
          <w:rPr>
            <w:rStyle w:val="char19"/>
            <w:rFonts w:ascii="Times New Roman" w:hAnsi="Times New Roman" w:eastAsia="Times New Roman"/>
            <w:b/>
            <w:bCs/>
            <w:color w:val="auto"/>
            <w:kern w:val="0"/>
            <w:u w:color="auto" w:val="none"/>
            <w:lang w:val="uk-ua" w:eastAsia="uk-ua"/>
          </w:rPr>
          <w:t>II. Інформація щодо капіталу та цінних паперів</w:t>
        </w:r>
        <w:r>
          <w:tab/>
        </w:r>
        <w:r>
          <w:fldChar w:fldCharType="begin"/>
          <w:instrText xml:space="preserve"> PAGEREF _Toc210042932 \h \* Arabic </w:instrText>
          <w:fldChar w:fldCharType="separate"/>
          <w:t>24</w:t>
          <w:fldChar w:fldCharType="end"/>
        </w:r>
      </w:hyperlink>
    </w:p>
    <w:p>
      <w:pPr>
        <w:pStyle w:val="para17"/>
        <w:tabs defTabSz="708">
          <w:tab w:val="right" w:pos="9912" w:leader="dot"/>
        </w:tabs>
      </w:pPr>
      <w:hyperlink w:anchor="_Toc210042933" w:history="1">
        <w:r>
          <w:rPr>
            <w:rStyle w:val="char19"/>
            <w:rFonts w:ascii="Times New Roman" w:hAnsi="Times New Roman" w:eastAsia="Times New Roman"/>
            <w:b/>
            <w:bCs/>
            <w:color w:val="auto"/>
            <w:kern w:val="0"/>
            <w:u w:color="auto" w:val="none"/>
            <w:lang w:val="uk-ua" w:eastAsia="uk-ua"/>
          </w:rPr>
          <w:t>1. Структура капіталу</w:t>
        </w:r>
        <w:r>
          <w:tab/>
        </w:r>
        <w:r>
          <w:fldChar w:fldCharType="begin"/>
          <w:instrText xml:space="preserve"> PAGEREF _Toc210042933 \h \* Arabic </w:instrText>
          <w:fldChar w:fldCharType="separate"/>
          <w:t>24</w:t>
          <w:fldChar w:fldCharType="end"/>
        </w:r>
      </w:hyperlink>
    </w:p>
    <w:p>
      <w:pPr>
        <w:pStyle w:val="para17"/>
        <w:tabs defTabSz="708">
          <w:tab w:val="right" w:pos="9912" w:leader="dot"/>
        </w:tabs>
      </w:pPr>
      <w:hyperlink w:anchor="_Toc210042934" w:history="1">
        <w:r>
          <w:rPr>
            <w:rStyle w:val="char19"/>
            <w:rFonts w:ascii="Times New Roman" w:hAnsi="Times New Roman" w:eastAsia="Times New Roman"/>
            <w:b/>
            <w:bCs/>
            <w:color w:val="auto"/>
            <w:kern w:val="0"/>
            <w:u w:color="auto" w:val="none"/>
            <w:lang w:val="uk-ua" w:eastAsia="uk-ua"/>
          </w:rPr>
          <w:t>3. Цінні папери</w:t>
        </w:r>
        <w:r>
          <w:tab/>
        </w:r>
        <w:r>
          <w:fldChar w:fldCharType="begin"/>
          <w:instrText xml:space="preserve"> PAGEREF _Toc210042934 \h \* Arabic </w:instrText>
          <w:fldChar w:fldCharType="separate"/>
          <w:t>28</w:t>
          <w:fldChar w:fldCharType="end"/>
        </w:r>
      </w:hyperlink>
    </w:p>
    <w:p>
      <w:pPr>
        <w:pStyle w:val="para17"/>
        <w:tabs defTabSz="708">
          <w:tab w:val="right" w:pos="9912" w:leader="dot"/>
        </w:tabs>
      </w:pPr>
      <w:hyperlink w:anchor="_Toc210042935" w:history="1">
        <w:r>
          <w:rPr>
            <w:rStyle w:val="char19"/>
            <w:rFonts w:ascii="Times New Roman" w:hAnsi="Times New Roman" w:eastAsia="Times New Roman"/>
            <w:b/>
            <w:bCs/>
            <w:color w:val="auto"/>
            <w:kern w:val="0"/>
            <w:u w:color="auto" w:val="none"/>
            <w:lang w:val="en-us" w:eastAsia="uk-ua"/>
          </w:rPr>
          <w:t xml:space="preserve">III. </w:t>
        </w:r>
        <w:r>
          <w:rPr>
            <w:rStyle w:val="char19"/>
            <w:rFonts w:ascii="Times New Roman" w:hAnsi="Times New Roman" w:eastAsia="Times New Roman"/>
            <w:b/>
            <w:bCs/>
            <w:color w:val="auto"/>
            <w:kern w:val="0"/>
            <w:u w:color="auto" w:val="none"/>
            <w:lang w:val="uk-ua" w:eastAsia="uk-ua"/>
          </w:rPr>
          <w:t>Фінансова інформація</w:t>
        </w:r>
        <w:r>
          <w:tab/>
        </w:r>
        <w:r>
          <w:fldChar w:fldCharType="begin"/>
          <w:instrText xml:space="preserve"> PAGEREF _Toc210042935 \h \* Arabic </w:instrText>
          <w:fldChar w:fldCharType="separate"/>
          <w:t>29</w:t>
          <w:fldChar w:fldCharType="end"/>
        </w:r>
      </w:hyperlink>
    </w:p>
    <w:p>
      <w:pPr>
        <w:pStyle w:val="para17"/>
        <w:tabs defTabSz="708">
          <w:tab w:val="right" w:pos="9912" w:leader="dot"/>
        </w:tabs>
      </w:pPr>
      <w:hyperlink w:anchor="_Toc210042936" w:history="1">
        <w:r>
          <w:rPr>
            <w:rStyle w:val="char19"/>
            <w:rFonts w:ascii="Times New Roman" w:hAnsi="Times New Roman" w:eastAsia="Times New Roman"/>
            <w:b/>
            <w:bCs/>
            <w:color w:val="auto"/>
            <w:kern w:val="0"/>
            <w:u w:color="auto" w:val="none"/>
            <w:lang w:val="uk-ua" w:eastAsia="uk-ua"/>
          </w:rPr>
          <w:t>1. Інформація про розмір доходу за видами діяльності особи</w:t>
        </w:r>
        <w:r>
          <w:tab/>
        </w:r>
        <w:r>
          <w:fldChar w:fldCharType="begin"/>
          <w:instrText xml:space="preserve"> PAGEREF _Toc210042936 \h \* Arabic </w:instrText>
          <w:fldChar w:fldCharType="separate"/>
          <w:t>29</w:t>
          <w:fldChar w:fldCharType="end"/>
        </w:r>
      </w:hyperlink>
    </w:p>
    <w:p>
      <w:pPr>
        <w:pStyle w:val="para17"/>
        <w:tabs defTabSz="708">
          <w:tab w:val="right" w:pos="9912" w:leader="dot"/>
        </w:tabs>
      </w:pPr>
      <w:hyperlink w:anchor="_Toc210042937" w:history="1">
        <w:r>
          <w:rPr>
            <w:rStyle w:val="char19"/>
            <w:rFonts w:ascii="Times New Roman" w:hAnsi="Times New Roman" w:eastAsia="Times New Roman"/>
            <w:b/>
            <w:bCs/>
            <w:color w:val="auto"/>
            <w:kern w:val="0"/>
            <w:u w:color="auto" w:val="none"/>
            <w:lang w:val="en-us" w:eastAsia="uk-ua"/>
          </w:rPr>
          <w:t>4. Твердження щодо річної інформації</w:t>
        </w:r>
        <w:r>
          <w:tab/>
        </w:r>
        <w:r>
          <w:fldChar w:fldCharType="begin"/>
          <w:instrText xml:space="preserve"> PAGEREF _Toc210042937 \h \* Arabic </w:instrText>
          <w:fldChar w:fldCharType="separate"/>
          <w:t>30</w:t>
          <w:fldChar w:fldCharType="end"/>
        </w:r>
      </w:hyperlink>
    </w:p>
    <w:p>
      <w:pPr>
        <w:pStyle w:val="para17"/>
        <w:tabs defTabSz="708">
          <w:tab w:val="right" w:pos="9912" w:leader="dot"/>
        </w:tabs>
      </w:pPr>
      <w:hyperlink w:anchor="_Toc210042938" w:history="1">
        <w:r>
          <w:rPr>
            <w:rStyle w:val="char19"/>
            <w:rFonts w:ascii="Times New Roman" w:hAnsi="Times New Roman" w:eastAsia="Times New Roman"/>
            <w:b/>
            <w:bCs/>
            <w:color w:val="auto"/>
            <w:kern w:val="0"/>
            <w:u w:color="auto" w:val="none"/>
            <w:lang w:val="uk-ua" w:eastAsia="uk-ua"/>
          </w:rPr>
          <w:t>IV. Нефінансова інформація</w:t>
        </w:r>
        <w:r>
          <w:tab/>
        </w:r>
        <w:r>
          <w:fldChar w:fldCharType="begin"/>
          <w:instrText xml:space="preserve"> PAGEREF _Toc210042938 \h \* Arabic </w:instrText>
          <w:fldChar w:fldCharType="separate"/>
          <w:t>30</w:t>
          <w:fldChar w:fldCharType="end"/>
        </w:r>
      </w:hyperlink>
    </w:p>
    <w:p>
      <w:pPr>
        <w:pStyle w:val="para17"/>
        <w:tabs defTabSz="708">
          <w:tab w:val="right" w:pos="9912" w:leader="dot"/>
        </w:tabs>
      </w:pPr>
      <w:hyperlink w:anchor="_Toc210042939" w:history="1">
        <w:r>
          <w:rPr>
            <w:rStyle w:val="char19"/>
            <w:rFonts w:ascii="Times New Roman" w:hAnsi="Times New Roman" w:eastAsia="Times New Roman"/>
            <w:b/>
            <w:bCs/>
            <w:color w:val="auto"/>
            <w:kern w:val="0"/>
            <w:u w:color="auto" w:val="none"/>
            <w:lang w:val="uk-ua" w:eastAsia="uk-ua"/>
          </w:rPr>
          <w:t>1. Звіт керівництва (звіт про управління)</w:t>
        </w:r>
        <w:r>
          <w:tab/>
        </w:r>
        <w:r>
          <w:fldChar w:fldCharType="begin"/>
          <w:instrText xml:space="preserve"> PAGEREF _Toc210042939 \h \* Arabic </w:instrText>
          <w:fldChar w:fldCharType="separate"/>
          <w:t>30</w:t>
          <w:fldChar w:fldCharType="end"/>
        </w:r>
      </w:hyperlink>
    </w:p>
    <w:p>
      <w:pPr>
        <w:pStyle w:val="para17"/>
        <w:tabs defTabSz="708">
          <w:tab w:val="right" w:pos="9912" w:leader="dot"/>
        </w:tabs>
      </w:pPr>
      <w:hyperlink w:anchor="_Toc210042940" w:history="1">
        <w:r>
          <w:rPr>
            <w:rStyle w:val="char19"/>
            <w:rFonts w:ascii="Times New Roman" w:hAnsi="Times New Roman" w:eastAsia="Times New Roman"/>
            <w:b/>
            <w:color w:val="auto"/>
            <w:u w:color="auto" w:val="none"/>
          </w:rPr>
          <w:t>1) звіт про корпоративне управління</w:t>
        </w:r>
        <w:r>
          <w:tab/>
        </w:r>
        <w:r>
          <w:fldChar w:fldCharType="begin"/>
          <w:instrText xml:space="preserve"> PAGEREF _Toc210042940 \h \* Arabic </w:instrText>
          <w:fldChar w:fldCharType="separate"/>
          <w:t>30</w:t>
          <w:fldChar w:fldCharType="end"/>
        </w:r>
      </w:hyperlink>
    </w:p>
    <w:p>
      <w:pPr>
        <w:pStyle w:val="para17"/>
        <w:tabs defTabSz="708">
          <w:tab w:val="right" w:pos="9912" w:leader="dot"/>
        </w:tabs>
      </w:pPr>
      <w:hyperlink w:anchor="_Toc210042941" w:history="1">
        <w:r>
          <w:rPr>
            <w:rStyle w:val="char19"/>
            <w:rFonts w:ascii="Times New Roman" w:hAnsi="Times New Roman" w:eastAsia="Times New Roman"/>
            <w:b/>
            <w:bCs/>
            <w:color w:val="auto"/>
            <w:kern w:val="0"/>
            <w:u w:color="auto" w:val="none"/>
            <w:lang w:val="uk-ua" w:eastAsia="uk-ua"/>
          </w:rPr>
          <w:t>3) інформація щодо наявності у емітента відносин з іноземними державами зони ризику</w:t>
        </w:r>
        <w:r>
          <w:tab/>
        </w:r>
        <w:r>
          <w:fldChar w:fldCharType="begin"/>
          <w:instrText xml:space="preserve"> PAGEREF _Toc210042941 \h \* Arabic </w:instrText>
          <w:fldChar w:fldCharType="separate"/>
          <w:t>58</w:t>
          <w:fldChar w:fldCharType="end"/>
        </w:r>
      </w:hyperlink>
    </w:p>
    <w:p>
      <w:pPr>
        <w:pStyle w:val="para17"/>
        <w:tabs defTabSz="708">
          <w:tab w:val="right" w:pos="9912" w:leader="dot"/>
        </w:tabs>
      </w:pPr>
      <w:hyperlink w:anchor="_Toc210042942" w:history="1">
        <w:r>
          <w:rPr>
            <w:rStyle w:val="char19"/>
            <w:rFonts w:ascii="Times New Roman" w:hAnsi="Times New Roman" w:eastAsia="Times New Roman"/>
            <w:b/>
            <w:bCs/>
            <w:color w:val="auto"/>
            <w:kern w:val="0"/>
            <w:u w:color="auto" w:val="none"/>
            <w:lang w:val="uk-ua" w:eastAsia="uk-ua"/>
          </w:rPr>
          <w:t>5. Перелік посилань на внутрішні документи особи, що розміщені на вебсайті особи</w:t>
        </w:r>
        <w:r>
          <w:tab/>
        </w:r>
        <w:r>
          <w:fldChar w:fldCharType="begin"/>
          <w:instrText xml:space="preserve"> PAGEREF _Toc210042942 \h \* Arabic </w:instrText>
          <w:fldChar w:fldCharType="separate"/>
          <w:t>58</w:t>
          <w:fldChar w:fldCharType="end"/>
        </w:r>
      </w:hyperlink>
    </w:p>
    <w:p>
      <w:pPr>
        <w:pStyle w:val="para17"/>
        <w:tabs defTabSz="708">
          <w:tab w:val="right" w:pos="9912" w:leader="dot"/>
        </w:tabs>
      </w:pPr>
      <w:hyperlink w:anchor="_Toc210042943" w:history="1">
        <w:r>
          <w:rPr>
            <w:rStyle w:val="char19"/>
            <w:rFonts w:ascii="Times New Roman" w:hAnsi="Times New Roman" w:eastAsia="Times New Roman"/>
            <w:b/>
            <w:bCs/>
            <w:color w:val="auto"/>
            <w:kern w:val="0"/>
            <w:u w:color="auto" w:val="none"/>
            <w:lang w:val="uk-ua" w:eastAsia="uk-ua"/>
          </w:rPr>
          <w:t>VI. Список посилань на регульовану інформацію,  яка була розкрита протягом звітного року</w:t>
        </w:r>
        <w:r>
          <w:tab/>
        </w:r>
        <w:r>
          <w:fldChar w:fldCharType="begin"/>
          <w:instrText xml:space="preserve"> PAGEREF _Toc210042943 \h \* Arabic </w:instrText>
          <w:fldChar w:fldCharType="separate"/>
          <w:t>59</w:t>
          <w:fldChar w:fldCharType="end"/>
        </w:r>
      </w:hyperlink>
    </w:p>
    <w:p>
      <w:pPr>
        <w:pStyle w:val="para17"/>
        <w:tabs defTabSz="708">
          <w:tab w:val="right" w:pos="9912" w:leader="dot"/>
        </w:tabs>
      </w:pPr>
      <w:hyperlink w:anchor="_Toc210042944" w:history="1">
        <w:r>
          <w:rPr>
            <w:rStyle w:val="char19"/>
            <w:rFonts w:ascii="Times New Roman" w:hAnsi="Times New Roman" w:eastAsia="Times New Roman"/>
            <w:b/>
            <w:bCs/>
            <w:color w:val="auto"/>
            <w:kern w:val="0"/>
            <w:u w:color="auto" w:val="none"/>
            <w:lang w:val="uk-ua" w:eastAsia="uk-ua"/>
          </w:rPr>
          <w:t>1. Проміжна інформація</w:t>
        </w:r>
        <w:r>
          <w:tab/>
        </w:r>
        <w:r>
          <w:fldChar w:fldCharType="begin"/>
          <w:instrText xml:space="preserve"> PAGEREF _Toc210042944 \h \* Arabic </w:instrText>
          <w:fldChar w:fldCharType="separate"/>
          <w:t>59</w:t>
          <w:fldChar w:fldCharType="end"/>
        </w:r>
      </w:hyperlink>
    </w:p>
    <w:p>
      <w:pPr>
        <w:pStyle w:val="para17"/>
        <w:tabs defTabSz="708">
          <w:tab w:val="right" w:pos="9912" w:leader="dot"/>
        </w:tabs>
      </w:pPr>
      <w:hyperlink w:anchor="_Toc210042945" w:history="1">
        <w:r>
          <w:rPr>
            <w:rStyle w:val="char19"/>
            <w:rFonts w:ascii="Times New Roman" w:hAnsi="Times New Roman" w:eastAsia="Times New Roman"/>
            <w:b/>
            <w:bCs/>
            <w:color w:val="auto"/>
            <w:kern w:val="0"/>
            <w:u w:color="auto" w:val="none"/>
            <w:lang w:val="uk-ua" w:eastAsia="uk-ua"/>
          </w:rPr>
          <w:t>2. Особлива інформація</w:t>
        </w:r>
        <w:r>
          <w:tab/>
        </w:r>
        <w:r>
          <w:fldChar w:fldCharType="begin"/>
          <w:instrText xml:space="preserve"> PAGEREF _Toc210042945 \h \* Arabic </w:instrText>
          <w:fldChar w:fldCharType="separate"/>
          <w:t>59</w:t>
          <w:fldChar w:fldCharType="end"/>
        </w:r>
      </w:hyperlink>
    </w:p>
    <w:p>
      <w:pPr>
        <w:pStyle w:val="para17"/>
        <w:tabs defTabSz="708">
          <w:tab w:val="right" w:pos="9912" w:leader="dot"/>
        </w:tabs>
      </w:pPr>
      <w:hyperlink w:anchor="_Toc210042946" w:history="1">
        <w:r>
          <w:rPr>
            <w:rStyle w:val="char19"/>
            <w:rFonts w:ascii="Times New Roman" w:hAnsi="Times New Roman" w:eastAsia="Times New Roman"/>
            <w:b/>
            <w:bCs/>
            <w:color w:val="auto"/>
            <w:kern w:val="0"/>
            <w:u w:color="auto" w:val="none"/>
            <w:lang w:val="uk-ua" w:eastAsia="uk-ua"/>
          </w:rPr>
          <w:t>3. Інша інформація</w:t>
        </w:r>
        <w:r>
          <w:tab/>
        </w:r>
        <w:r>
          <w:fldChar w:fldCharType="begin"/>
          <w:instrText xml:space="preserve"> PAGEREF _Toc210042946 \h \* Arabic </w:instrText>
          <w:fldChar w:fldCharType="separate"/>
          <w:t>60</w:t>
          <w:fldChar w:fldCharType="end"/>
        </w:r>
      </w:hyperlink>
    </w:p>
    <w:p>
      <w:pPr>
        <w:spacing w:after="0" w:line="240" w:lineRule="auto"/>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fldChar w:fldCharType="end"/>
      </w:r>
      <w:r>
        <w:rPr>
          <w:rFonts w:ascii="Times New Roman" w:hAnsi="Times New Roman" w:eastAsia="Times New Roman"/>
          <w:sz w:val="20"/>
          <w:szCs w:val="20"/>
          <w:lang w:val="en-us" w:eastAsia="uk-ua"/>
        </w:rPr>
      </w:r>
    </w:p>
    <w:p>
      <w:pPr>
        <w:spacing w:before="240" w:after="60" w:line="240" w:lineRule="auto"/>
        <w:jc w:val="center"/>
        <w:outlineLvl w:val="0"/>
        <w:rPr>
          <w:rFonts w:ascii="Times New Roman" w:hAnsi="Times New Roman" w:eastAsia="Times New Roman"/>
          <w:b/>
          <w:bCs/>
          <w:sz w:val="28"/>
          <w:szCs w:val="28"/>
          <w:lang w:val="uk-ua" w:eastAsia="uk-ua"/>
        </w:rPr>
      </w:pPr>
      <w:r/>
      <w:bookmarkStart w:id="0" w:name="_Toc210042927"/>
      <w:r/>
      <w:r>
        <w:rPr>
          <w:rFonts w:ascii="Times New Roman" w:hAnsi="Times New Roman" w:eastAsia="Times New Roman"/>
          <w:b/>
          <w:bCs/>
          <w:sz w:val="28"/>
          <w:szCs w:val="28"/>
          <w:lang w:val="uk-ua" w:eastAsia="uk-ua"/>
        </w:rPr>
        <w:t>I. Загальна інформація</w:t>
      </w:r>
      <w:r/>
      <w:bookmarkEnd w:id="0"/>
      <w:r/>
      <w:r>
        <w:rPr>
          <w:rFonts w:ascii="Times New Roman" w:hAnsi="Times New Roman" w:eastAsia="Times New Roman"/>
          <w:b/>
          <w:bCs/>
          <w:sz w:val="28"/>
          <w:szCs w:val="28"/>
          <w:lang w:val="uk-ua" w:eastAsia="uk-ua"/>
        </w:rPr>
      </w:r>
    </w:p>
    <w:p>
      <w:pPr>
        <w:spacing w:after="60" w:line="240" w:lineRule="auto"/>
        <w:jc w:val="center"/>
        <w:outlineLvl w:val="0"/>
        <w:rPr>
          <w:rFonts w:ascii="Times New Roman" w:hAnsi="Times New Roman" w:eastAsia="Times New Roman"/>
          <w:b/>
          <w:bCs/>
          <w:kern w:val="0"/>
          <w:sz w:val="26"/>
          <w:szCs w:val="26"/>
          <w:lang w:val="uk-ua" w:eastAsia="uk-ua"/>
        </w:rPr>
      </w:pPr>
      <w:r/>
      <w:bookmarkStart w:id="1" w:name="_Toc210042928"/>
      <w:r/>
      <w:r>
        <w:rPr>
          <w:rFonts w:ascii="Times New Roman" w:hAnsi="Times New Roman" w:eastAsia="Times New Roman"/>
          <w:b/>
          <w:bCs/>
          <w:kern w:val="0"/>
          <w:sz w:val="26"/>
          <w:szCs w:val="26"/>
          <w:lang w:val="uk-ua" w:eastAsia="uk-ua"/>
        </w:rPr>
        <w:t>1. Ідентифікаційні дані та загальна інформація</w:t>
      </w:r>
      <w:r/>
      <w:bookmarkEnd w:id="1"/>
      <w:r/>
      <w:r>
        <w:rPr>
          <w:rFonts w:ascii="Times New Roman" w:hAnsi="Times New Roman" w:eastAsia="Times New Roman"/>
          <w:b/>
          <w:bCs/>
          <w:kern w:val="0"/>
          <w:sz w:val="26"/>
          <w:szCs w:val="26"/>
          <w:lang w:val="uk-ua" w:eastAsia="uk-ua"/>
        </w:rPr>
      </w:r>
    </w:p>
    <w:tbl>
      <w:tblPr>
        <w:tblStyle w:val="NormalTable"/>
        <w:name w:val="Таблица4"/>
        <w:tabOrder w:val="0"/>
        <w:jc w:val="left"/>
        <w:tblInd w:w="0" w:type="dxa"/>
        <w:tblW w:w="9922" w:type="dxa"/>
        <w:tblLook w:val="01E0" w:firstRow="1" w:lastRow="1" w:firstColumn="1" w:lastColumn="1" w:noHBand="0" w:noVBand="0"/>
      </w:tblPr>
      <w:tblGrid>
        <w:gridCol w:w="532"/>
        <w:gridCol w:w="4379"/>
        <w:gridCol w:w="468"/>
        <w:gridCol w:w="4543"/>
      </w:tblGrid>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1</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Повне найменування</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 xml:space="preserve"> </w:t>
            </w:r>
            <w:r>
              <w:rPr>
                <w:rFonts w:ascii="Times New Roman" w:hAnsi="Times New Roman" w:eastAsia="Times New Roman"/>
                <w:sz w:val="20"/>
                <w:szCs w:val="20"/>
                <w:lang w:val="en-us" w:eastAsia="uk-ua"/>
              </w:rPr>
              <w:t xml:space="preserve"> </w:t>
            </w:r>
            <w:r>
              <w:rPr>
                <w:rFonts w:ascii="Times New Roman" w:hAnsi="Times New Roman" w:eastAsia="Times New Roman"/>
                <w:sz w:val="20"/>
                <w:szCs w:val="20"/>
                <w:lang w:val="uk-ua" w:eastAsia="uk-ua"/>
              </w:rPr>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2</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eastAsia="uk-ua"/>
              </w:rPr>
              <w:t>Скорочене найменування (за наявності).</w:t>
            </w:r>
            <w:r>
              <w:rPr>
                <w:rFonts w:ascii="Times New Roman" w:hAnsi="Times New Roman" w:eastAsia="Times New Roman"/>
                <w:b/>
                <w:sz w:val="20"/>
                <w:szCs w:val="20"/>
                <w:lang w:val="uk-ua" w:eastAsia="uk-ua"/>
              </w:rPr>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 xml:space="preserve"> </w:t>
            </w:r>
            <w:r>
              <w:rPr>
                <w:rFonts w:ascii="Times New Roman" w:hAnsi="Times New Roman" w:eastAsia="Times New Roman"/>
                <w:sz w:val="20"/>
                <w:szCs w:val="20"/>
                <w:lang w:val="en-us" w:eastAsia="uk-ua"/>
              </w:rPr>
              <w:t>ПРАТ "Макіївський завод "ФАКЕЛ"</w:t>
            </w:r>
            <w:r>
              <w:rPr>
                <w:rFonts w:ascii="Times New Roman" w:hAnsi="Times New Roman" w:eastAsia="Times New Roman"/>
                <w:sz w:val="20"/>
                <w:szCs w:val="20"/>
                <w:lang w:val="uk-ua" w:eastAsia="uk-ua"/>
              </w:rPr>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3</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Ідентифікаційний код юридичної особи</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 xml:space="preserve"> </w:t>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4</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Дата державної реєстрації</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 xml:space="preserve"> </w:t>
            </w:r>
            <w:r>
              <w:rPr>
                <w:rFonts w:ascii="Times New Roman" w:hAnsi="Times New Roman" w:eastAsia="Times New Roman"/>
                <w:sz w:val="20"/>
                <w:szCs w:val="20"/>
                <w:lang w:val="en-us" w:eastAsia="uk-ua"/>
              </w:rPr>
              <w:t>16.08.1994</w:t>
            </w:r>
            <w:r>
              <w:rPr>
                <w:rFonts w:ascii="Times New Roman" w:hAnsi="Times New Roman" w:eastAsia="Times New Roman"/>
                <w:sz w:val="20"/>
                <w:szCs w:val="20"/>
                <w:lang w:val="uk-ua" w:eastAsia="uk-ua"/>
              </w:rPr>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5</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Місцезнаходження</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01014 УКРАЇНА  Печерський район                                                                                     м.Київ                                                                                               вул.Звiринецька, буд.63</w:t>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6</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Адреса для листування</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01014, УКРАЇНА, Печерський район, м.Київ, вул.Звiринецька, буд.63</w:t>
            </w:r>
          </w:p>
        </w:tc>
      </w:tr>
      <w:tr>
        <w:trPr>
          <w:cantSplit w:val="0"/>
          <w:trHeight w:val="195" w:hRule="atLeast"/>
        </w:trPr>
        <w:tc>
          <w:tcPr>
            <w:tcW w:w="532" w:type="dxa"/>
            <w:vMerge w:val="restart"/>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7</w:t>
            </w:r>
          </w:p>
        </w:tc>
        <w:tc>
          <w:tcPr>
            <w:tcW w:w="4379" w:type="dxa"/>
            <w:vMerge w:val="restart"/>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Особа, яка розкриває інформацію</w:t>
            </w:r>
          </w:p>
        </w:tc>
        <w:tc>
          <w:tcPr>
            <w:tcW w:w="468" w:type="dxa"/>
            <w:vAlign w:val="center"/>
            <w:tcBorders>
              <w:top w:val="single" w:sz="6" w:space="0" w:color="000000" tmln="15, 20, 20, 0, 0"/>
              <w:left w:val="single" w:sz="6" w:space="0" w:color="000000" tmln="15, 20, 20, 0, 0"/>
              <w:bottom w:val="nil" w:sz="0" w:space="0" w:color="000000" tmln="20, 20, 20, 0, 0"/>
              <w:right w:val="nil" w:sz="0" w:space="0" w:color="000000" tmln="20, 20, 20, 0, 0"/>
            </w:tcBorders>
            <w:tmTcPr id="1759223788" protected="0"/>
          </w:tcPr>
          <w:p>
            <w:pPr>
              <w:spacing w:after="0" w:line="240" w:lineRule="auto"/>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X</w:t>
            </w:r>
          </w:p>
        </w:tc>
        <w:tc>
          <w:tcPr>
            <w:tcW w:w="4533" w:type="dxa"/>
            <w:vAlign w:val="center"/>
            <w:tcBorders>
              <w:top w:val="single" w:sz="6" w:space="0" w:color="000000" tmln="15, 20, 20, 0, 0"/>
              <w:left w:val="nil" w:sz="0" w:space="0" w:color="000000" tmln="20, 20, 20, 0, 0"/>
              <w:bottom w:val="nil" w:sz="0" w:space="0" w:color="000000" tmln="20,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Емітент</w:t>
            </w:r>
          </w:p>
        </w:tc>
      </w:tr>
      <w:tr>
        <w:trPr>
          <w:cantSplit w:val="0"/>
          <w:trHeight w:val="195" w:hRule="atLeast"/>
        </w:trPr>
        <w:tc>
          <w:tcPr>
            <w:tcW w:w="532"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tc>
        <w:tc>
          <w:tcPr>
            <w:tcW w:w="4379"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tc>
        <w:tc>
          <w:tcPr>
            <w:tcW w:w="468" w:type="dxa"/>
            <w:vAlign w:val="center"/>
            <w:tcBorders>
              <w:top w:val="nil" w:sz="0" w:space="0" w:color="000000" tmln="20, 20, 20, 0, 0"/>
              <w:left w:val="single" w:sz="6" w:space="0" w:color="000000" tmln="15, 20, 20, 0, 0"/>
              <w:bottom w:val="single" w:sz="6" w:space="0" w:color="000000" tmln="15, 20, 20, 0, 0"/>
              <w:right w:val="nil" w:sz="0" w:space="0" w:color="000000" tmln="20, 20, 20, 0, 0"/>
            </w:tcBorders>
            <w:tmTcPr id="1759223788" protected="0"/>
          </w:tcPr>
          <w:p>
            <w:pPr>
              <w:spacing w:after="0" w:line="240" w:lineRule="auto"/>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 xml:space="preserve"> </w:t>
            </w:r>
          </w:p>
        </w:tc>
        <w:tc>
          <w:tcPr>
            <w:tcW w:w="4533" w:type="dxa"/>
            <w:vAlign w:val="center"/>
            <w:tcBorders>
              <w:top w:val="nil" w:sz="0" w:space="0" w:color="000000" tmln="20, 20, 20, 0, 0"/>
              <w:left w:val="nil" w:sz="0" w:space="0" w:color="000000" tmln="20,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Особа, яка надає забезпечення</w:t>
            </w:r>
          </w:p>
        </w:tc>
      </w:tr>
      <w:tr>
        <w:trPr>
          <w:cantSplit w:val="0"/>
          <w:trHeight w:val="240" w:hRule="atLeast"/>
        </w:trPr>
        <w:tc>
          <w:tcPr>
            <w:tcW w:w="532" w:type="dxa"/>
            <w:vMerge w:val="restart"/>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8</w:t>
            </w:r>
          </w:p>
        </w:tc>
        <w:tc>
          <w:tcPr>
            <w:tcW w:w="4379" w:type="dxa"/>
            <w:vMerge w:val="restart"/>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Особа має статус підприємства, що становить суспільний інтерес</w:t>
            </w:r>
          </w:p>
        </w:tc>
        <w:tc>
          <w:tcPr>
            <w:tcW w:w="468" w:type="dxa"/>
            <w:vAlign w:val="center"/>
            <w:tcBorders>
              <w:top w:val="single" w:sz="6" w:space="0" w:color="000000" tmln="15, 20, 20, 0, 0"/>
              <w:left w:val="single" w:sz="6" w:space="0" w:color="000000" tmln="15, 20, 20, 0, 0"/>
              <w:bottom w:val="nil" w:sz="0" w:space="0" w:color="000000" tmln="20, 20, 20, 0, 0"/>
              <w:right w:val="nil" w:sz="0" w:space="0" w:color="000000" tmln="20, 20, 20, 0, 0"/>
            </w:tcBorders>
            <w:tmTcPr id="1759223788" protected="0"/>
          </w:tcPr>
          <w:p>
            <w:pPr>
              <w:spacing w:after="0" w:line="240" w:lineRule="auto"/>
              <w:rPr>
                <w:rFonts w:ascii="Times New Roman" w:hAnsi="Times New Roman" w:eastAsia="Times New Roman"/>
                <w:b/>
                <w:sz w:val="20"/>
                <w:szCs w:val="20"/>
                <w:lang w:eastAsia="uk-ua"/>
              </w:rPr>
            </w:pPr>
            <w:r>
              <w:rPr>
                <w:rFonts w:ascii="Times New Roman" w:hAnsi="Times New Roman" w:eastAsia="Times New Roman"/>
                <w:b/>
                <w:sz w:val="20"/>
                <w:szCs w:val="20"/>
                <w:lang w:eastAsia="uk-ua"/>
              </w:rPr>
              <w:t xml:space="preserve"> </w:t>
            </w:r>
          </w:p>
        </w:tc>
        <w:tc>
          <w:tcPr>
            <w:tcW w:w="4543" w:type="dxa"/>
            <w:vAlign w:val="center"/>
            <w:tcBorders>
              <w:top w:val="single" w:sz="6" w:space="0" w:color="000000" tmln="15, 20, 20, 0, 0"/>
              <w:left w:val="nil" w:sz="0" w:space="0" w:color="000000" tmln="20, 20, 20, 0, 0"/>
              <w:bottom w:val="nil" w:sz="0" w:space="0" w:color="000000" tmln="20,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Так</w:t>
            </w:r>
          </w:p>
        </w:tc>
      </w:tr>
      <w:tr>
        <w:trPr>
          <w:cantSplit w:val="0"/>
          <w:trHeight w:val="240" w:hRule="atLeast"/>
        </w:trPr>
        <w:tc>
          <w:tcPr>
            <w:tcW w:w="532"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tc>
        <w:tc>
          <w:tcPr>
            <w:tcW w:w="4379"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tc>
        <w:tc>
          <w:tcPr>
            <w:tcW w:w="468" w:type="dxa"/>
            <w:vAlign w:val="center"/>
            <w:tcBorders>
              <w:top w:val="nil" w:sz="0" w:space="0" w:color="000000" tmln="20, 20, 20, 0, 0"/>
              <w:left w:val="single" w:sz="6" w:space="0" w:color="000000" tmln="15, 20, 20, 0, 0"/>
              <w:bottom w:val="single" w:sz="6" w:space="0" w:color="000000" tmln="15, 20, 20, 0, 0"/>
              <w:right w:val="nil" w:sz="0" w:space="0" w:color="000000" tmln="20, 20, 20, 0, 0"/>
            </w:tcBorders>
            <w:tmTcPr id="1759223788" protected="0"/>
          </w:tcPr>
          <w:p>
            <w:pPr>
              <w:spacing w:after="0" w:line="240" w:lineRule="auto"/>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X</w:t>
            </w:r>
          </w:p>
        </w:tc>
        <w:tc>
          <w:tcPr>
            <w:tcW w:w="4543" w:type="dxa"/>
            <w:vAlign w:val="center"/>
            <w:tcBorders>
              <w:top w:val="nil" w:sz="0" w:space="0" w:color="000000" tmln="20, 20, 20, 0, 0"/>
              <w:left w:val="nil" w:sz="0" w:space="0" w:color="000000" tmln="20,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Ні</w:t>
            </w:r>
          </w:p>
        </w:tc>
      </w:tr>
      <w:tr>
        <w:trPr>
          <w:cantSplit w:val="0"/>
          <w:trHeight w:val="99" w:hRule="atLeast"/>
        </w:trPr>
        <w:tc>
          <w:tcPr>
            <w:tcW w:w="532" w:type="dxa"/>
            <w:vMerge w:val="restart"/>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9</w:t>
            </w:r>
          </w:p>
        </w:tc>
        <w:tc>
          <w:tcPr>
            <w:tcW w:w="4379" w:type="dxa"/>
            <w:vMerge w:val="restart"/>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Категорія підприємства </w:t>
            </w:r>
          </w:p>
        </w:tc>
        <w:tc>
          <w:tcPr>
            <w:tcW w:w="468" w:type="dxa"/>
            <w:vAlign w:val="center"/>
            <w:tcBorders>
              <w:top w:val="single" w:sz="6" w:space="0" w:color="000000" tmln="15, 20, 20, 0, 0"/>
              <w:left w:val="single" w:sz="6" w:space="0" w:color="000000" tmln="15, 20, 20, 0, 0"/>
              <w:bottom w:val="nil" w:sz="0" w:space="0" w:color="000000" tmln="20, 20, 20, 0, 0"/>
              <w:right w:val="nil" w:sz="0" w:space="0" w:color="000000" tmln="20, 20, 20, 0, 0"/>
            </w:tcBorders>
            <w:tmTcPr id="1759223788" protected="0"/>
          </w:tcPr>
          <w:p>
            <w:pPr>
              <w:spacing w:after="0" w:line="240" w:lineRule="auto"/>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 xml:space="preserve"> </w:t>
            </w:r>
          </w:p>
        </w:tc>
        <w:tc>
          <w:tcPr>
            <w:tcW w:w="4543" w:type="dxa"/>
            <w:vAlign w:val="center"/>
            <w:tcBorders>
              <w:top w:val="single" w:sz="6" w:space="0" w:color="000000" tmln="15, 20, 20, 0, 0"/>
              <w:left w:val="nil" w:sz="0" w:space="0" w:color="000000" tmln="20, 20, 20, 0, 0"/>
              <w:bottom w:val="nil" w:sz="0" w:space="0" w:color="000000" tmln="20,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Велике</w:t>
            </w:r>
          </w:p>
        </w:tc>
      </w:tr>
      <w:tr>
        <w:trPr>
          <w:cantSplit w:val="0"/>
          <w:trHeight w:val="97" w:hRule="atLeast"/>
        </w:trPr>
        <w:tc>
          <w:tcPr>
            <w:tcW w:w="532"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tc>
        <w:tc>
          <w:tcPr>
            <w:tcW w:w="4379"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tc>
        <w:tc>
          <w:tcPr>
            <w:tcW w:w="468" w:type="dxa"/>
            <w:vAlign w:val="center"/>
            <w:tcBorders>
              <w:top w:val="nil" w:sz="0" w:space="0" w:color="000000" tmln="20, 20, 20, 0, 0"/>
              <w:left w:val="single" w:sz="6" w:space="0" w:color="000000" tmln="15, 20, 20, 0, 0"/>
              <w:bottom w:val="nil" w:sz="0" w:space="0" w:color="000000" tmln="20, 20, 20, 0, 0"/>
              <w:right w:val="nil" w:sz="0" w:space="0" w:color="000000" tmln="20, 20, 20, 0, 0"/>
            </w:tcBorders>
            <w:tmTcPr id="1759223788" protected="0"/>
          </w:tcPr>
          <w:p>
            <w:pPr>
              <w:spacing w:after="0" w:line="240" w:lineRule="auto"/>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 xml:space="preserve"> </w:t>
            </w:r>
          </w:p>
        </w:tc>
        <w:tc>
          <w:tcPr>
            <w:tcW w:w="4543" w:type="dxa"/>
            <w:vAlign w:val="center"/>
            <w:tcBorders>
              <w:top w:val="nil" w:sz="0" w:space="0" w:color="000000" tmln="20, 20, 20, 0, 0"/>
              <w:left w:val="nil" w:sz="0" w:space="0" w:color="000000" tmln="20, 20, 20, 0, 0"/>
              <w:bottom w:val="nil" w:sz="0" w:space="0" w:color="000000" tmln="20,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Середнє</w:t>
            </w:r>
          </w:p>
        </w:tc>
      </w:tr>
      <w:tr>
        <w:trPr>
          <w:cantSplit w:val="0"/>
          <w:trHeight w:val="97" w:hRule="atLeast"/>
        </w:trPr>
        <w:tc>
          <w:tcPr>
            <w:tcW w:w="532"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tc>
        <w:tc>
          <w:tcPr>
            <w:tcW w:w="4379"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tc>
        <w:tc>
          <w:tcPr>
            <w:tcW w:w="468" w:type="dxa"/>
            <w:vAlign w:val="center"/>
            <w:tcBorders>
              <w:top w:val="nil" w:sz="0" w:space="0" w:color="000000" tmln="20, 20, 20, 0, 0"/>
              <w:left w:val="single" w:sz="6" w:space="0" w:color="000000" tmln="15, 20, 20, 0, 0"/>
              <w:bottom w:val="nil" w:sz="0" w:space="0" w:color="000000" tmln="20, 20, 20, 0, 0"/>
              <w:right w:val="nil" w:sz="0" w:space="0" w:color="000000" tmln="20, 20, 20, 0, 0"/>
            </w:tcBorders>
            <w:tmTcPr id="1759223788" protected="0"/>
          </w:tcPr>
          <w:p>
            <w:pPr>
              <w:spacing w:after="0" w:line="240" w:lineRule="auto"/>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X</w:t>
            </w:r>
          </w:p>
        </w:tc>
        <w:tc>
          <w:tcPr>
            <w:tcW w:w="4543" w:type="dxa"/>
            <w:vAlign w:val="center"/>
            <w:tcBorders>
              <w:top w:val="nil" w:sz="0" w:space="0" w:color="000000" tmln="20, 20, 20, 0, 0"/>
              <w:left w:val="nil" w:sz="0" w:space="0" w:color="000000" tmln="20, 20, 20, 0, 0"/>
              <w:bottom w:val="nil" w:sz="0" w:space="0" w:color="000000" tmln="20,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Мале</w:t>
            </w:r>
          </w:p>
        </w:tc>
      </w:tr>
      <w:tr>
        <w:trPr>
          <w:cantSplit w:val="0"/>
          <w:trHeight w:val="97" w:hRule="atLeast"/>
        </w:trPr>
        <w:tc>
          <w:tcPr>
            <w:tcW w:w="532"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tc>
        <w:tc>
          <w:tcPr>
            <w:tcW w:w="4379"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tc>
        <w:tc>
          <w:tcPr>
            <w:tcW w:w="468" w:type="dxa"/>
            <w:vAlign w:val="center"/>
            <w:tcBorders>
              <w:top w:val="nil" w:sz="0" w:space="0" w:color="000000" tmln="20, 20, 20, 0, 0"/>
              <w:left w:val="single" w:sz="6" w:space="0" w:color="000000" tmln="15, 20, 20, 0, 0"/>
              <w:bottom w:val="single" w:sz="6" w:space="0" w:color="000000" tmln="15, 20, 20, 0, 0"/>
              <w:right w:val="nil" w:sz="0" w:space="0" w:color="000000" tmln="20, 20, 20, 0, 0"/>
            </w:tcBorders>
            <w:tmTcPr id="1759223788" protected="0"/>
          </w:tcPr>
          <w:p>
            <w:pPr>
              <w:spacing w:after="0" w:line="240" w:lineRule="auto"/>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 xml:space="preserve"> </w:t>
            </w:r>
          </w:p>
        </w:tc>
        <w:tc>
          <w:tcPr>
            <w:tcW w:w="4543" w:type="dxa"/>
            <w:vAlign w:val="center"/>
            <w:tcBorders>
              <w:top w:val="nil" w:sz="0" w:space="0" w:color="000000" tmln="20, 20, 20, 0, 0"/>
              <w:left w:val="nil" w:sz="0" w:space="0" w:color="000000" tmln="20, 20, 20, 0, 0"/>
              <w:bottom w:val="single" w:sz="6" w:space="0" w:color="000000" tmln="15, 20, 20, 0, 0"/>
              <w:right w:val="single" w:sz="6" w:space="0" w:color="000000" tmln="15, 20, 20, 0, 0"/>
            </w:tcBorders>
            <w:tmTcPr id="1759223788" protected="0"/>
          </w:tcPr>
          <w:p>
            <w:pPr>
              <w:ind w:left="-140" w:firstLine="140"/>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Мікро</w:t>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10</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Адреса електронної пошти для офіційного каналу зв’язку</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fakel@pacinsider.com</w:t>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11</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Адреса вебсайту</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fakel.pat.ua</w:t>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12</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Номер телефону </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0968671022</w:t>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13</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Статутний капітал (грн.)</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 xml:space="preserve"> </w:t>
            </w:r>
            <w:r>
              <w:rPr>
                <w:rFonts w:ascii="Times New Roman" w:hAnsi="Times New Roman" w:eastAsia="Times New Roman"/>
                <w:sz w:val="20"/>
                <w:szCs w:val="20"/>
                <w:lang w:val="en-us" w:eastAsia="uk-ua"/>
              </w:rPr>
              <w:t>3956600.00</w:t>
            </w:r>
            <w:r>
              <w:rPr>
                <w:rFonts w:ascii="Times New Roman" w:hAnsi="Times New Roman" w:eastAsia="Times New Roman"/>
                <w:sz w:val="20"/>
                <w:szCs w:val="20"/>
                <w:lang w:val="uk-ua" w:eastAsia="uk-ua"/>
              </w:rPr>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14</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Відсоток акцій у статутному капіталі, що належать державі</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val="en-us" w:eastAsia="uk-ua"/>
              </w:rPr>
            </w:pPr>
            <w:r>
              <w:rPr>
                <w:rFonts w:ascii="Times New Roman" w:hAnsi="Times New Roman" w:eastAsia="Times New Roman"/>
                <w:sz w:val="20"/>
                <w:szCs w:val="20"/>
                <w:lang w:eastAsia="uk-ua"/>
              </w:rPr>
              <w:t>0.000</w:t>
            </w:r>
            <w:r>
              <w:rPr>
                <w:rFonts w:ascii="Times New Roman" w:hAnsi="Times New Roman" w:eastAsia="Times New Roman"/>
                <w:sz w:val="20"/>
                <w:szCs w:val="20"/>
                <w:lang w:val="en-us" w:eastAsia="uk-ua"/>
              </w:rPr>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15</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0.000</w:t>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16</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Середня кількість працівників (осіб)</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val="en-us" w:eastAsia="uk-ua"/>
              </w:rPr>
            </w:pPr>
            <w:r>
              <w:rPr>
                <w:rFonts w:ascii="Times New Roman" w:hAnsi="Times New Roman" w:eastAsia="Times New Roman"/>
                <w:sz w:val="20"/>
                <w:szCs w:val="20"/>
                <w:lang w:eastAsia="uk-ua"/>
              </w:rPr>
              <w:t>2</w:t>
            </w:r>
            <w:r>
              <w:rPr>
                <w:rFonts w:ascii="Times New Roman" w:hAnsi="Times New Roman" w:eastAsia="Times New Roman"/>
                <w:sz w:val="20"/>
                <w:szCs w:val="20"/>
                <w:lang w:val="en-us" w:eastAsia="uk-ua"/>
              </w:rPr>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17</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Витрати на оплату праці тис грн (для розрахунку фіктивності для суб’єктів малого підприємництва)</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167</w:t>
            </w:r>
          </w:p>
        </w:tc>
      </w:tr>
      <w:tr>
        <w:trPr>
          <w:cantSplit w:val="0"/>
          <w:trHeight w:val="397" w:hRule="atLeast"/>
        </w:trPr>
        <w:tc>
          <w:tcPr>
            <w:tcW w:w="532"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18</w:t>
            </w:r>
          </w:p>
        </w:tc>
        <w:tc>
          <w:tcPr>
            <w:tcW w:w="4379"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Основні види діяльності із зазначенням їх найменування та коду за КВЕД</w:t>
            </w:r>
          </w:p>
        </w:tc>
        <w:tc>
          <w:tcPr>
            <w:tcW w:w="5011" w:type="dxa"/>
            <w:gridSpan w:val="2"/>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28.29"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ВИРОБНИЦТВО ІНШИХ МАШИН І УСТАТКОВАННЯ ЗАГАЛЬНОГО ПРИЗНАЧЕННЯ, Н. В. І. 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46.90"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НЕСПЕЦІАЛІЗОВАНА ОПТОВА ТОРГІВЛЯ"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47.19"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ІНШІ ВИДИ РОЗДРІБНОЇ ТОРГІВЛІ В НЕСПЕЦІАЛІЗОВАНИХ МАГАЗИНАХ"</w:t>
            </w:r>
          </w:p>
        </w:tc>
      </w:tr>
      <w:tr>
        <w:trPr>
          <w:cantSplit w:val="0"/>
          <w:trHeight w:val="130" w:hRule="atLeast"/>
        </w:trPr>
        <w:tc>
          <w:tcPr>
            <w:tcW w:w="532" w:type="dxa"/>
            <w:vMerge w:val="restart"/>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19</w:t>
            </w:r>
          </w:p>
        </w:tc>
        <w:tc>
          <w:tcPr>
            <w:tcW w:w="4379" w:type="dxa"/>
            <w:vMerge w:val="restart"/>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Структура управління особою</w:t>
            </w:r>
          </w:p>
        </w:tc>
        <w:tc>
          <w:tcPr>
            <w:tcW w:w="468" w:type="dxa"/>
            <w:tcBorders>
              <w:top w:val="single" w:sz="6" w:space="0" w:color="000000" tmln="15, 20, 20, 0, 0"/>
              <w:left w:val="single" w:sz="6" w:space="0" w:color="000000" tmln="15, 20, 20, 0, 0"/>
              <w:bottom w:val="nil" w:sz="0" w:space="0" w:color="000000" tmln="20, 20, 20, 0, 0"/>
              <w:right w:val="nil" w:sz="0" w:space="0" w:color="000000" tmln="20, 20, 20, 0, 0"/>
            </w:tcBorders>
            <w:tmTcPr id="1759223788" protected="0"/>
          </w:tcPr>
          <w:p>
            <w:pPr>
              <w:spacing w:after="0" w:line="240" w:lineRule="auto"/>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 xml:space="preserve"> </w:t>
            </w:r>
          </w:p>
        </w:tc>
        <w:tc>
          <w:tcPr>
            <w:tcW w:w="4543" w:type="dxa"/>
            <w:vAlign w:val="center"/>
            <w:tcBorders>
              <w:top w:val="single" w:sz="6" w:space="0" w:color="000000" tmln="15, 20, 20, 0, 0"/>
              <w:left w:val="nil" w:sz="0" w:space="0" w:color="000000" tmln="20, 20, 20, 0, 0"/>
              <w:bottom w:val="nil" w:sz="0" w:space="0" w:color="000000" tmln="20,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Однорівнева</w:t>
            </w:r>
            <w:r>
              <w:rPr>
                <w:rFonts w:ascii="Times New Roman" w:hAnsi="Times New Roman" w:eastAsia="Times New Roman"/>
                <w:sz w:val="20"/>
                <w:szCs w:val="20"/>
                <w:lang w:val="en-us" w:eastAsia="uk-ua"/>
              </w:rPr>
            </w:r>
          </w:p>
        </w:tc>
      </w:tr>
      <w:tr>
        <w:trPr>
          <w:cantSplit w:val="0"/>
          <w:trHeight w:val="130" w:hRule="atLeast"/>
        </w:trPr>
        <w:tc>
          <w:tcPr>
            <w:tcW w:w="532"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tc>
        <w:tc>
          <w:tcPr>
            <w:tcW w:w="4379"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tc>
        <w:tc>
          <w:tcPr>
            <w:tcW w:w="468" w:type="dxa"/>
            <w:tcBorders>
              <w:top w:val="nil" w:sz="0" w:space="0" w:color="000000" tmln="20, 20, 20, 0, 0"/>
              <w:left w:val="single" w:sz="6" w:space="0" w:color="000000" tmln="15, 20, 20, 0, 0"/>
              <w:bottom w:val="nil" w:sz="0" w:space="0" w:color="000000" tmln="20, 20, 20, 0, 0"/>
              <w:right w:val="nil" w:sz="0" w:space="0" w:color="000000" tmln="20, 20, 20, 0, 0"/>
            </w:tcBorders>
            <w:tmTcPr id="1759223788" protected="0"/>
          </w:tcPr>
          <w:p>
            <w:pPr>
              <w:spacing w:after="0" w:line="240" w:lineRule="auto"/>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X</w:t>
            </w:r>
          </w:p>
        </w:tc>
        <w:tc>
          <w:tcPr>
            <w:tcW w:w="4543" w:type="dxa"/>
            <w:vAlign w:val="center"/>
            <w:tcBorders>
              <w:top w:val="nil" w:sz="0" w:space="0" w:color="000000" tmln="20, 20, 20, 0, 0"/>
              <w:left w:val="nil" w:sz="0" w:space="0" w:color="000000" tmln="20, 20, 20, 0, 0"/>
              <w:bottom w:val="nil" w:sz="0" w:space="0" w:color="000000" tmln="20,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val="uk-ua" w:eastAsia="uk-ua"/>
              </w:rPr>
              <w:t>Дворівнева</w:t>
            </w:r>
            <w:r>
              <w:rPr>
                <w:rFonts w:ascii="Times New Roman" w:hAnsi="Times New Roman" w:eastAsia="Times New Roman"/>
                <w:sz w:val="20"/>
                <w:szCs w:val="20"/>
                <w:lang w:eastAsia="uk-ua"/>
              </w:rPr>
            </w:r>
          </w:p>
        </w:tc>
      </w:tr>
      <w:tr>
        <w:trPr>
          <w:cantSplit w:val="0"/>
          <w:trHeight w:val="130" w:hRule="atLeast"/>
        </w:trPr>
        <w:tc>
          <w:tcPr>
            <w:tcW w:w="532"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tc>
        <w:tc>
          <w:tcPr>
            <w:tcW w:w="4379" w:type="dxa"/>
            <w:vMerge/>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tc>
        <w:tc>
          <w:tcPr>
            <w:tcW w:w="468" w:type="dxa"/>
            <w:tcBorders>
              <w:top w:val="nil" w:sz="0" w:space="0" w:color="000000" tmln="20, 20, 20, 0, 0"/>
              <w:left w:val="single" w:sz="6" w:space="0" w:color="000000" tmln="15, 20, 20, 0, 0"/>
              <w:bottom w:val="single" w:sz="6" w:space="0" w:color="000000" tmln="15, 20, 20, 0, 0"/>
              <w:right w:val="nil" w:sz="0" w:space="0" w:color="000000" tmln="20, 20, 20, 0, 0"/>
            </w:tcBorders>
            <w:tmTcPr id="1759223788" protected="0"/>
          </w:tcPr>
          <w:p>
            <w:pPr>
              <w:spacing w:after="0" w:line="240" w:lineRule="auto"/>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 xml:space="preserve"> </w:t>
            </w:r>
          </w:p>
        </w:tc>
        <w:tc>
          <w:tcPr>
            <w:tcW w:w="4543" w:type="dxa"/>
            <w:vAlign w:val="center"/>
            <w:tcBorders>
              <w:top w:val="nil" w:sz="0" w:space="0" w:color="000000" tmln="20, 20, 20, 0, 0"/>
              <w:left w:val="nil" w:sz="0" w:space="0" w:color="000000" tmln="20,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Інше:</w:t>
            </w:r>
            <w:r>
              <w:rPr>
                <w:rFonts w:ascii="Times New Roman" w:hAnsi="Times New Roman" w:eastAsia="Times New Roman"/>
                <w:sz w:val="20"/>
                <w:szCs w:val="20"/>
                <w:lang w:val="en-us" w:eastAsia="uk-ua"/>
              </w:rPr>
              <w:t xml:space="preserve">  </w:t>
            </w:r>
            <w:r>
              <w:rPr>
                <w:rFonts w:ascii="Times New Roman" w:hAnsi="Times New Roman" w:eastAsia="Times New Roman"/>
                <w:sz w:val="20"/>
                <w:szCs w:val="20"/>
                <w:lang w:val="en-us" w:eastAsia="uk-ua"/>
              </w:rPr>
            </w:r>
          </w:p>
        </w:tc>
      </w:tr>
    </w:tbl>
    <w:p>
      <w:pPr>
        <w:spacing w:after="0" w:line="240" w:lineRule="auto"/>
        <w:rPr>
          <w:rFonts w:ascii="Times New Roman" w:hAnsi="Times New Roman" w:eastAsia="Times New Roman"/>
          <w:vanish w:val="1"/>
          <w:sz w:val="24"/>
          <w:szCs w:val="24"/>
          <w:lang w:val="uk-ua" w:eastAsia="uk-ua"/>
        </w:rPr>
      </w:pPr>
      <w:r>
        <w:rPr>
          <w:rFonts w:ascii="Times New Roman" w:hAnsi="Times New Roman" w:eastAsia="Times New Roman"/>
          <w:vanish w:val="1"/>
          <w:sz w:val="24"/>
          <w:szCs w:val="24"/>
          <w:lang w:val="uk-ua" w:eastAsia="uk-ua"/>
        </w:rPr>
      </w:r>
    </w:p>
    <w:p>
      <w:pPr>
        <w:spacing w:after="0" w:line="240" w:lineRule="auto"/>
        <w:rPr>
          <w:rFonts w:ascii="Times New Roman" w:hAnsi="Times New Roman" w:eastAsia="Times New Roman"/>
          <w:sz w:val="24"/>
          <w:szCs w:val="24"/>
          <w:lang w:eastAsia="uk-ua"/>
        </w:rPr>
      </w:pPr>
      <w:r>
        <w:rPr>
          <w:rFonts w:ascii="Times New Roman" w:hAnsi="Times New Roman" w:eastAsia="Times New Roman"/>
          <w:sz w:val="24"/>
          <w:szCs w:val="24"/>
          <w:lang w:eastAsia="uk-ua"/>
        </w:rPr>
      </w:r>
    </w:p>
    <w:p>
      <w:pPr>
        <w:ind w:left="-426"/>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Банки, що обслуговують особу</w:t>
      </w:r>
    </w:p>
    <w:tbl>
      <w:tblPr>
        <w:tblStyle w:val="NormalTable"/>
        <w:name w:val="Таблица5"/>
        <w:tabOrder w:val="0"/>
        <w:jc w:val="left"/>
        <w:tblInd w:w="-431" w:type="dxa"/>
        <w:tblW w:w="10343" w:type="dxa"/>
        <w:tblLook w:val="0000" w:firstRow="0" w:lastRow="0" w:firstColumn="0" w:lastColumn="0" w:noHBand="0" w:noVBand="0"/>
      </w:tblPr>
      <w:tblGrid>
        <w:gridCol w:w="590"/>
        <w:gridCol w:w="3396"/>
        <w:gridCol w:w="6357"/>
      </w:tblGrid>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1</w:t>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Повне найменування (в т.ч. філії, відділення банку)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АТ "ПУМБ"</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Ідентифікаційний код юридичної особи</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14282829</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IBAN</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UA073348510000026100111236839</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Валюта рахунку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гривня</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2</w:t>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Повне найменування (в т.ч. філії, відділення банку)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АТ "ПУМБ"</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Ідентифікаційний код юридичної особи</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14282829</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IBAN</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UA123348510000000002600483385</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Валюта рахунку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гривня</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3</w:t>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Повне найменування (в т.ч. філії, відділення банку)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Казначейство України(ел. адм. подат.)</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Ідентифікаційний код юридичної особи</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37567646</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IBAN</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UA458999980385129000000007416</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Валюта рахунку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гривня</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4</w:t>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Повне найменування (в т.ч. філії, відділення банку)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АТ "Райффайзен Банк"</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Ідентифікаційний код юридичної особи</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14305909</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IBAN</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UA493003350000000026004540791</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Валюта рахунку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гривня</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5</w:t>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Повне найменування (в т.ч. філії, відділення банку)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АТ "ПУМБ"</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Ідентифікаційний код юридичної особи</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14282829</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IBAN</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UA813348510000026009962495760</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Валюта рахунку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гривня</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6</w:t>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Повне найменування (в т.ч. філії, відділення банку)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АТ "ПУМБ"</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Ідентифікаційний код юридичної особи</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14282829</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IBAN</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UA813348510000026009962495760</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Валюта рахунку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долар</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7</w:t>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Повне найменування (в т.ч. філії, відділення банку)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КРД АТ"РАЙФФАЙЗЕН БАНК"М.КИЇВ</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Ідентифікаційний код юридичної особи</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23494105</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IBAN</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UA883229040000000002600742443</w:t>
            </w:r>
          </w:p>
        </w:tc>
      </w:tr>
      <w:tr>
        <w:trPr>
          <w:cantSplit w:val="0"/>
          <w:trHeight w:val="60" w:hRule="atLeast"/>
        </w:trPr>
        <w:tc>
          <w:tcPr>
            <w:tcW w:w="28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r>
          </w:p>
        </w:tc>
        <w:tc>
          <w:tcPr>
            <w:tcW w:w="164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Валюта рахунку</w:t>
            </w:r>
          </w:p>
        </w:tc>
        <w:tc>
          <w:tcPr>
            <w:tcW w:w="307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гривня</w:t>
            </w:r>
          </w:p>
        </w:tc>
      </w:tr>
    </w:tbl>
    <w:p>
      <w:pPr>
        <w:ind w:left="-426"/>
        <w:rPr>
          <w:rFonts w:eastAsia="Times New Roman"/>
          <w:lang w:val="uk-ua" w:eastAsia="uk-ua"/>
        </w:rPr>
      </w:pPr>
      <w:r>
        <w:rPr>
          <w:rFonts w:eastAsia="Times New Roman"/>
          <w:lang w:val="uk-ua"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10"/>
          <w:footerReference w:type="default" r:id="rId11"/>
          <w:type w:val="nextPage"/>
          <w:pgSz w:h="16838" w:w="11906"/>
          <w:pgMar w:left="1417" w:top="363" w:right="567" w:bottom="363"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spacing w:after="60" w:line="240" w:lineRule="auto"/>
        <w:jc w:val="center"/>
        <w:outlineLvl w:val="0"/>
        <w:rPr>
          <w:rFonts w:ascii="Times New Roman" w:hAnsi="Times New Roman" w:eastAsia="Times New Roman"/>
          <w:b/>
          <w:bCs/>
          <w:kern w:val="0"/>
          <w:sz w:val="26"/>
          <w:szCs w:val="26"/>
          <w:lang w:val="uk-ua" w:eastAsia="uk-ua"/>
        </w:rPr>
      </w:pPr>
      <w:r/>
      <w:bookmarkStart w:id="2" w:name="10086"/>
      <w:r/>
      <w:bookmarkStart w:id="3" w:name="_Toc210042929"/>
      <w:r/>
      <w:bookmarkEnd w:id="2"/>
      <w:r/>
      <w:r>
        <w:rPr>
          <w:rFonts w:ascii="Times New Roman" w:hAnsi="Times New Roman" w:eastAsia="Times New Roman"/>
          <w:b/>
          <w:bCs/>
          <w:kern w:val="0"/>
          <w:sz w:val="26"/>
          <w:szCs w:val="26"/>
          <w:lang w:val="uk-ua" w:eastAsia="uk-ua"/>
        </w:rPr>
        <w:t>2. Органи управління та посадові особи. Організаційна структура</w:t>
      </w:r>
      <w:r/>
      <w:bookmarkEnd w:id="3"/>
      <w:r/>
      <w:r>
        <w:rPr>
          <w:rFonts w:ascii="Times New Roman" w:hAnsi="Times New Roman" w:eastAsia="Times New Roman"/>
          <w:b/>
          <w:bCs/>
          <w:kern w:val="0"/>
          <w:sz w:val="26"/>
          <w:szCs w:val="26"/>
          <w:lang w:val="uk-ua" w:eastAsia="uk-ua"/>
        </w:rPr>
      </w:r>
    </w:p>
    <w:p>
      <w:pPr>
        <w:spacing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Органи управління</w:t>
      </w:r>
    </w:p>
    <w:p>
      <w:pPr>
        <w:spacing w:after="0" w:line="257" w:lineRule="auto"/>
        <w:jc w:val="center"/>
        <w:suppressAutoHyphens/>
        <w:hyphenationLines w:val="0"/>
        <w:widowControl w:val="0"/>
        <w:tabs defTabSz="708">
          <w:tab w:val="right" w:pos="7710" w:leader="none"/>
          <w:tab w:val="right" w:pos="11514" w:leader="none"/>
        </w:tabs>
        <w:rPr>
          <w:rFonts w:ascii="Pragmatica-Book" w:hAnsi="Pragmatica-Book" w:eastAsia="Times New Roman" w:cs="Pragmatica-Book"/>
          <w:vanish w:val="1"/>
          <w:color w:val="000000"/>
          <w:w w:val="90"/>
          <w:sz w:val="8"/>
          <w:szCs w:val="8"/>
          <w:lang w:val="uk-ua" w:eastAsia="uk-ua"/>
        </w:rPr>
      </w:pPr>
      <w:r>
        <w:rPr>
          <w:rFonts w:ascii="Pragmatica-Book" w:hAnsi="Pragmatica-Book" w:eastAsia="Times New Roman" w:cs="Pragmatica-Book"/>
          <w:vanish w:val="1"/>
          <w:color w:val="000000"/>
          <w:w w:val="90"/>
          <w:sz w:val="8"/>
          <w:szCs w:val="8"/>
          <w:lang w:val="uk-ua" w:eastAsia="uk-ua"/>
        </w:rPr>
      </w:r>
    </w:p>
    <w:tbl>
      <w:tblPr>
        <w:tblStyle w:val="NormalTable"/>
        <w:name w:val="Таблица6"/>
        <w:tabOrder w:val="0"/>
        <w:jc w:val="left"/>
        <w:tblInd w:w="582" w:type="dxa"/>
        <w:tblW w:w="15309" w:type="dxa"/>
        <w:tblLook w:val="0000" w:firstRow="0" w:lastRow="0" w:firstColumn="0" w:lastColumn="0" w:noHBand="0" w:noVBand="0"/>
      </w:tblPr>
      <w:tblGrid>
        <w:gridCol w:w="709"/>
        <w:gridCol w:w="5245"/>
        <w:gridCol w:w="2693"/>
        <w:gridCol w:w="6662"/>
      </w:tblGrid>
      <w:tr>
        <w:trPr>
          <w:cantSplit w:val="0"/>
          <w:trHeight w:val="0" w:hRule="auto"/>
        </w:trPr>
        <w:tc>
          <w:tcPr>
            <w:tcW w:w="70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з/п</w:t>
            </w:r>
          </w:p>
        </w:tc>
        <w:tc>
          <w:tcPr>
            <w:tcW w:w="524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Назва органу управління (контролю)</w:t>
            </w:r>
          </w:p>
        </w:tc>
        <w:tc>
          <w:tcPr>
            <w:tcW w:w="26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Кількісний склад органу управління (контролю)</w:t>
            </w:r>
          </w:p>
        </w:tc>
        <w:tc>
          <w:tcPr>
            <w:tcW w:w="666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Персональний склад органу управління (контролю)</w:t>
            </w:r>
          </w:p>
        </w:tc>
      </w:tr>
      <w:tr>
        <w:trPr>
          <w:cantSplit w:val="0"/>
          <w:trHeight w:val="0" w:hRule="auto"/>
        </w:trPr>
        <w:tc>
          <w:tcPr>
            <w:tcW w:w="70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1</w:t>
            </w:r>
          </w:p>
        </w:tc>
        <w:tc>
          <w:tcPr>
            <w:tcW w:w="524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2</w:t>
            </w:r>
          </w:p>
        </w:tc>
        <w:tc>
          <w:tcPr>
            <w:tcW w:w="26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3</w:t>
            </w:r>
          </w:p>
        </w:tc>
        <w:tc>
          <w:tcPr>
            <w:tcW w:w="666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4</w:t>
            </w:r>
          </w:p>
        </w:tc>
      </w:tr>
      <w:tr>
        <w:trPr>
          <w:cantSplit w:val="0"/>
          <w:trHeight w:val="0" w:hRule="auto"/>
        </w:trPr>
        <w:tc>
          <w:tcPr>
            <w:tcW w:w="70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1</w:t>
            </w:r>
          </w:p>
        </w:tc>
        <w:tc>
          <w:tcPr>
            <w:tcW w:w="524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Загальні збори Товариства</w:t>
            </w:r>
          </w:p>
        </w:tc>
        <w:tc>
          <w:tcPr>
            <w:tcW w:w="26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val="en-us" w:eastAsia="uk-ua"/>
              </w:rPr>
              <w:t xml:space="preserve">Загальні збори акціонерів можуть приймати рішення з будь-яких питань діяльності Товариства, крім тих, що віднесені до виключної компетенції наглядової ради відповідно до закону або статуту. </w:t>
            </w:r>
            <w:r>
              <w:rPr>
                <w:rFonts w:ascii="Times New Roman" w:hAnsi="Times New Roman" w:eastAsia="Times New Roman"/>
                <w:color w:val="000000"/>
                <w:sz w:val="20"/>
                <w:szCs w:val="20"/>
                <w:lang w:eastAsia="uk-ua"/>
              </w:rPr>
              <w:t>У Зборах мають право брати участь особи, включені до складеного відповідно до законодавства переліку акціонерів, які мають право на таку участь, або їх представники.</w:t>
            </w:r>
          </w:p>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Структура: акціонери</w:t>
            </w:r>
          </w:p>
        </w:tc>
        <w:tc>
          <w:tcPr>
            <w:tcW w:w="666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94 власника акцій Товариства</w:t>
            </w:r>
          </w:p>
        </w:tc>
      </w:tr>
      <w:tr>
        <w:trPr>
          <w:cantSplit w:val="0"/>
          <w:trHeight w:val="0" w:hRule="auto"/>
        </w:trPr>
        <w:tc>
          <w:tcPr>
            <w:tcW w:w="70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2</w:t>
            </w:r>
          </w:p>
        </w:tc>
        <w:tc>
          <w:tcPr>
            <w:tcW w:w="524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Наглядова рада</w:t>
            </w:r>
          </w:p>
        </w:tc>
        <w:tc>
          <w:tcPr>
            <w:tcW w:w="26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Наглядова рада Товариства є органом, що зд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йснює захист прав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в,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в межах компетенц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визначеної чинним законодавством України та Статутом Товариства, контролює та регулює 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яльн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сть Правл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ння Товариства.</w:t>
            </w:r>
            <w:r>
              <w:rPr>
                <w:rFonts w:ascii="Times New Roman" w:hAnsi="Times New Roman" w:eastAsia="Times New Roman"/>
                <w:color w:val="000000"/>
                <w:sz w:val="20"/>
                <w:szCs w:val="20"/>
                <w:lang w:eastAsia="uk-ua"/>
              </w:rPr>
            </w:r>
          </w:p>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Структура Наглядової ради: Голова Наглядової ради, Члени Наглядової ради</w:t>
            </w:r>
          </w:p>
        </w:tc>
        <w:tc>
          <w:tcPr>
            <w:tcW w:w="666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Голова Наглядової ради - Лобов Сергій Вікторович  (04.05.2023 припинено повноваження)</w:t>
            </w:r>
          </w:p>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 xml:space="preserve">Член Наглядової ради -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ванов Олекс</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й Миколайович (04.05.2023 припинено повноваження)  </w:t>
            </w:r>
          </w:p>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Член Наглядової ради - Усенко Антон Юр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йович (04.05.2023 припинено повноваження)                                                                                                                                                                                                                                           </w:t>
            </w:r>
          </w:p>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Голова Наглядової ради - Ошурков Едуард Геннадіович (04.05.2023 обрано)</w:t>
            </w:r>
          </w:p>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 xml:space="preserve">Член Наглядової ради -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ванов Олекс</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й Миколайович (04.05.2023 обрано)</w:t>
            </w:r>
          </w:p>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Член Наглядової ради - Панченко Сергій Олександрович (04.05.2023 обрано)</w:t>
            </w:r>
          </w:p>
        </w:tc>
      </w:tr>
      <w:tr>
        <w:trPr>
          <w:cantSplit w:val="0"/>
          <w:trHeight w:val="0" w:hRule="auto"/>
        </w:trPr>
        <w:tc>
          <w:tcPr>
            <w:tcW w:w="70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3</w:t>
            </w:r>
          </w:p>
        </w:tc>
        <w:tc>
          <w:tcPr>
            <w:tcW w:w="524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Правлiння</w:t>
            </w:r>
          </w:p>
        </w:tc>
        <w:tc>
          <w:tcPr>
            <w:tcW w:w="26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Виконавчим органом Товариства, який  зд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йснює управл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ння поточною 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яльн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стю Товариства є Правл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ння. До компетенц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ї виконавчого органу належить </w:t>
            </w:r>
            <w:r>
              <w:rPr>
                <w:rFonts w:ascii="Times New Roman" w:hAnsi="Times New Roman" w:eastAsia="Times New Roman"/>
                <w:color w:val="000000"/>
                <w:sz w:val="20"/>
                <w:szCs w:val="20"/>
                <w:lang w:eastAsia="uk-ua"/>
              </w:rPr>
              <w:t>вир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шення вс</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х питань 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яльност</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товариства, кр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м тих, як</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дпов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дно до Статуту Товариства належать до виключної компетенц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Загальних збор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в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Наглядової ради.</w:t>
            </w:r>
            <w:r>
              <w:rPr>
                <w:rFonts w:ascii="Times New Roman" w:hAnsi="Times New Roman" w:eastAsia="Times New Roman"/>
                <w:color w:val="000000"/>
                <w:sz w:val="20"/>
                <w:szCs w:val="20"/>
                <w:lang w:eastAsia="uk-ua"/>
              </w:rPr>
            </w:r>
          </w:p>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Структура Правління: Голова Правління, Члени Правління</w:t>
            </w:r>
          </w:p>
        </w:tc>
        <w:tc>
          <w:tcPr>
            <w:tcW w:w="666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Голова Правл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ння - Горда Максим Серг</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йович    </w:t>
            </w:r>
          </w:p>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Член правління - Головний бухгалтер - Демидова Юлія Олександрівна</w:t>
            </w:r>
          </w:p>
        </w:tc>
      </w:tr>
      <w:tr>
        <w:trPr>
          <w:cantSplit w:val="0"/>
          <w:trHeight w:val="0" w:hRule="auto"/>
        </w:trPr>
        <w:tc>
          <w:tcPr>
            <w:tcW w:w="70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4</w:t>
            </w:r>
          </w:p>
        </w:tc>
        <w:tc>
          <w:tcPr>
            <w:tcW w:w="524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Ревізор</w:t>
            </w:r>
          </w:p>
        </w:tc>
        <w:tc>
          <w:tcPr>
            <w:tcW w:w="26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Один</w:t>
            </w:r>
          </w:p>
        </w:tc>
        <w:tc>
          <w:tcPr>
            <w:tcW w:w="666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Кононенко Наталія Анатоліївна (04.05.2023 припинено повноваження)</w:t>
            </w:r>
          </w:p>
        </w:tc>
      </w:tr>
    </w:tbl>
    <w:p>
      <w:pPr>
        <w:ind w:right="173"/>
        <w:spacing w:after="0" w:line="240" w:lineRule="auto"/>
        <w:rPr>
          <w:rFonts w:ascii="Times New Roman" w:hAnsi="Times New Roman" w:eastAsia="Times New Roman"/>
          <w:sz w:val="24"/>
          <w:szCs w:val="24"/>
          <w:lang w:val="uk-ua" w:eastAsia="uk-ua"/>
        </w:rPr>
      </w:pPr>
      <w:r>
        <w:rPr>
          <w:rFonts w:ascii="Times New Roman" w:hAnsi="Times New Roman" w:eastAsia="Times New Roman"/>
          <w:sz w:val="24"/>
          <w:szCs w:val="24"/>
          <w:lang w:val="uk-ua" w:eastAsia="uk-ua"/>
        </w:rPr>
      </w:r>
    </w:p>
    <w:p>
      <w:pPr>
        <w:spacing w:after="57"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Інформація щодо посадових осіб</w:t>
      </w:r>
    </w:p>
    <w:p>
      <w:pPr>
        <w:ind w:left="142"/>
        <w:spacing w:after="57" w:line="257" w:lineRule="auto"/>
        <w:suppressAutoHyphens/>
        <w:hyphenationLines w:val="0"/>
        <w:widowControl w:val="0"/>
        <w:tabs defTabSz="708">
          <w:tab w:val="right" w:pos="7710" w:leader="none"/>
          <w:tab w:val="right" w:pos="11514" w:leader="none"/>
        </w:tabs>
        <w:rPr>
          <w:rFonts w:ascii="Times New Roman" w:hAnsi="Times New Roman" w:eastAsia="Times New Roman"/>
          <w:b/>
          <w:bCs/>
          <w:color w:val="000000"/>
          <w:lang w:val="uk-ua" w:eastAsia="uk-ua"/>
        </w:rPr>
      </w:pPr>
      <w:r>
        <w:rPr>
          <w:rFonts w:ascii="Times New Roman" w:hAnsi="Times New Roman" w:eastAsia="Times New Roman"/>
          <w:b/>
          <w:bCs/>
          <w:color w:val="000000"/>
          <w:lang w:val="uk-ua" w:eastAsia="uk-ua"/>
        </w:rPr>
        <w:t>Рада ( за наявності )</w:t>
      </w:r>
    </w:p>
    <w:tbl>
      <w:tblPr>
        <w:tblStyle w:val="NormalTable"/>
        <w:name w:val="Таблица7"/>
        <w:tabOrder w:val="0"/>
        <w:jc w:val="center"/>
        <w:tblInd w:w="0" w:type="dxa"/>
        <w:tblW w:w="15851" w:type="dxa"/>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trPr>
          <w:cantSplit w:val="0"/>
          <w:trHeight w:val="974"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w:t>
            </w:r>
          </w:p>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з/п</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tabs defTabSz="708">
                <w:tab w:val="left" w:pos="214" w:leader="none"/>
              </w:tabs>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Посада</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Ім’я</w:t>
            </w:r>
            <w:r>
              <w:rPr>
                <w:rFonts w:ascii="Times New Roman" w:hAnsi="Times New Roman" w:eastAsia="Times New Roman"/>
                <w:b/>
                <w:bCs/>
                <w:sz w:val="20"/>
                <w:szCs w:val="20"/>
                <w:lang w:val="uk-ua" w:eastAsia="uk-ua"/>
              </w:rPr>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РНОКПП</w:t>
            </w:r>
            <w:r>
              <w:rPr>
                <w:rFonts w:ascii="Times New Roman" w:hAnsi="Times New Roman" w:eastAsia="Times New Roman"/>
                <w:b/>
                <w:bCs/>
                <w:sz w:val="20"/>
                <w:szCs w:val="20"/>
                <w:lang w:val="uk-ua" w:eastAsia="uk-ua"/>
              </w:rPr>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УНЗР</w:t>
            </w:r>
            <w:r>
              <w:rPr>
                <w:rFonts w:ascii="Times New Roman" w:hAnsi="Times New Roman" w:eastAsia="Times New Roman"/>
                <w:b/>
                <w:bCs/>
                <w:sz w:val="20"/>
                <w:szCs w:val="20"/>
                <w:lang w:val="uk-ua" w:eastAsia="uk-ua"/>
              </w:rPr>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Рік народження</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Освіта</w:t>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Стаж роботи (років)</w:t>
            </w:r>
          </w:p>
        </w:tc>
        <w:tc>
          <w:tcPr>
            <w:tcW w:w="2409"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sz w:val="20"/>
                <w:szCs w:val="20"/>
                <w:lang w:eastAsia="uk-ua"/>
              </w:rPr>
            </w:pPr>
            <w:r>
              <w:rPr>
                <w:rFonts w:ascii="Times New Roman" w:hAnsi="Times New Roman" w:eastAsia="Times New Roman"/>
                <w:b/>
                <w:sz w:val="20"/>
                <w:szCs w:val="20"/>
                <w:lang w:val="uk-ua" w:eastAsia="uk-ua"/>
              </w:rPr>
              <w:t>Повне найменування, ідентифікаційний код юридичної особи</w:t>
            </w:r>
            <w:r>
              <w:rPr>
                <w:rFonts w:ascii="Times New Roman" w:hAnsi="Times New Roman" w:eastAsia="Times New Roman"/>
                <w:b/>
                <w:sz w:val="20"/>
                <w:szCs w:val="20"/>
                <w:lang w:eastAsia="uk-ua"/>
              </w:rPr>
              <w:t xml:space="preserve"> </w:t>
            </w:r>
          </w:p>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та посада(и), яку(і) займав(є) за</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останні</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5</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років</w:t>
            </w:r>
            <w:r>
              <w:rPr>
                <w:rFonts w:ascii="Times New Roman" w:hAnsi="Times New Roman" w:eastAsia="Times New Roman"/>
                <w:b/>
                <w:bCs/>
                <w:sz w:val="20"/>
                <w:szCs w:val="20"/>
                <w:lang w:val="uk-ua" w:eastAsia="uk-ua"/>
              </w:rPr>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88" protected="0"/>
          </w:tcPr>
          <w:p>
            <w:pPr>
              <w:ind w:left="-15"/>
              <w:spacing w:after="0" w:line="240" w:lineRule="auto"/>
              <w:jc w:val="center"/>
              <w:rPr>
                <w:rFonts w:ascii="Times New Roman" w:hAnsi="Times New Roman" w:eastAsia="Times New Roman"/>
                <w:b/>
                <w:bCs/>
                <w:sz w:val="20"/>
                <w:szCs w:val="20"/>
                <w:lang w:eastAsia="uk-ua"/>
              </w:rPr>
            </w:pPr>
            <w:r>
              <w:rPr>
                <w:rFonts w:ascii="Times New Roman" w:hAnsi="Times New Roman" w:eastAsia="Times New Roman"/>
                <w:b/>
                <w:sz w:val="20"/>
                <w:szCs w:val="20"/>
                <w:lang w:val="uk-ua" w:eastAsia="uk-ua"/>
              </w:rPr>
              <w:t>Дата набуття повноважень та строк, на</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який обрано</w:t>
            </w:r>
            <w:r>
              <w:rPr>
                <w:rFonts w:ascii="Times New Roman" w:hAnsi="Times New Roman" w:eastAsia="Times New Roman"/>
                <w:b/>
                <w:bCs/>
                <w:sz w:val="20"/>
                <w:szCs w:val="20"/>
                <w:lang w:eastAsia="uk-ua"/>
              </w:rPr>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88" protected="0"/>
          </w:tcPr>
          <w:p>
            <w:pPr>
              <w:ind w:left="-15"/>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Непогашена судимість за корисливі та</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 xml:space="preserve">посадові злочини </w:t>
            </w:r>
            <w:r>
              <w:rPr>
                <w:rFonts w:ascii="Times New Roman" w:hAnsi="Times New Roman" w:eastAsia="Times New Roman"/>
                <w:b/>
                <w:sz w:val="20"/>
                <w:szCs w:val="20"/>
                <w:lang w:val="uk-ua" w:eastAsia="uk-ua"/>
              </w:rPr>
              <w:br w:type="textWrapping"/>
              <w:t>(Так/Ні)</w:t>
            </w:r>
            <w:r>
              <w:rPr>
                <w:rFonts w:ascii="Times New Roman" w:hAnsi="Times New Roman" w:eastAsia="Times New Roman"/>
                <w:b/>
                <w:bCs/>
                <w:sz w:val="20"/>
                <w:szCs w:val="20"/>
                <w:lang w:val="uk-ua" w:eastAsia="uk-ua"/>
              </w:rPr>
            </w:r>
          </w:p>
        </w:tc>
      </w:tr>
      <w:tr>
        <w:trPr>
          <w:cantSplit w:val="0"/>
          <w:trHeight w:val="208"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1</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2</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3</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4</w:t>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5</w:t>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6</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7</w:t>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8</w:t>
            </w:r>
          </w:p>
        </w:tc>
        <w:tc>
          <w:tcPr>
            <w:tcW w:w="240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9</w:t>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10</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11</w:t>
            </w:r>
          </w:p>
        </w:tc>
      </w:tr>
      <w:tr>
        <w:trPr>
          <w:cantSplit w:val="0"/>
          <w:trHeight w:val="208"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Голова Наглядової ради                                                                                                                                                                                                                                        </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Ошурко Едуард Генадійович                                                                           </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1993</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Вища. Донецький Національний  Університет                                                                                                                                                                                                                     </w:t>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12</w:t>
            </w:r>
          </w:p>
        </w:tc>
        <w:tc>
          <w:tcPr>
            <w:tcW w:w="240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eastAsia="uk-ua"/>
              </w:rPr>
            </w:pPr>
            <w:r>
              <w:rPr>
                <w:rFonts w:ascii="Times New Roman" w:hAnsi="Times New Roman" w:eastAsia="Times New Roman"/>
                <w:bCs/>
                <w:sz w:val="20"/>
                <w:szCs w:val="20"/>
                <w:lang w:eastAsia="uk-ua"/>
              </w:rPr>
              <w:t>ТОВ "НТК"</w:t>
            </w:r>
          </w:p>
          <w:p>
            <w:pPr>
              <w:spacing w:after="0" w:line="240" w:lineRule="auto"/>
              <w:jc w:val="center"/>
              <w:rPr>
                <w:rFonts w:ascii="Times New Roman" w:hAnsi="Times New Roman" w:eastAsia="Times New Roman"/>
                <w:bCs/>
                <w:sz w:val="20"/>
                <w:szCs w:val="20"/>
                <w:lang w:eastAsia="uk-ua"/>
              </w:rPr>
            </w:pPr>
            <w:r>
              <w:rPr>
                <w:rFonts w:ascii="Times New Roman" w:hAnsi="Times New Roman" w:eastAsia="Times New Roman"/>
                <w:bCs/>
                <w:sz w:val="20"/>
                <w:szCs w:val="20"/>
                <w:lang w:eastAsia="uk-ua"/>
              </w:rPr>
              <w:t>23425825</w:t>
            </w:r>
          </w:p>
          <w:p>
            <w:pPr>
              <w:spacing w:after="0" w:line="240" w:lineRule="auto"/>
              <w:jc w:val="center"/>
              <w:rPr>
                <w:rFonts w:ascii="Times New Roman" w:hAnsi="Times New Roman" w:eastAsia="Times New Roman"/>
                <w:bCs/>
                <w:sz w:val="20"/>
                <w:szCs w:val="20"/>
                <w:lang w:eastAsia="uk-ua"/>
              </w:rPr>
            </w:pPr>
            <w:r>
              <w:rPr>
                <w:rFonts w:ascii="Times New Roman" w:hAnsi="Times New Roman" w:eastAsia="Times New Roman"/>
                <w:bCs/>
                <w:sz w:val="20"/>
                <w:szCs w:val="20"/>
                <w:lang w:eastAsia="uk-ua"/>
              </w:rPr>
              <w:t>Менеджер зі збуту</w:t>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04.05.2023</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3 роки</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Ні</w:t>
            </w:r>
          </w:p>
        </w:tc>
      </w:tr>
      <w:tr>
        <w:trPr>
          <w:cantSplit w:val="0"/>
          <w:trHeight w:val="208"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2</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Член Наглядової ради                                                                                                                                                                                                                                          </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Iванов Олексiй Миколайович                                                                          </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1979</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Вища, НИГА, спеціальність "радіотехнік"                                                                                                                                                                                                                       </w:t>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19</w:t>
            </w:r>
          </w:p>
        </w:tc>
        <w:tc>
          <w:tcPr>
            <w:tcW w:w="240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eastAsia="uk-ua"/>
              </w:rPr>
            </w:pPr>
            <w:r>
              <w:rPr>
                <w:rFonts w:ascii="Times New Roman" w:hAnsi="Times New Roman" w:eastAsia="Times New Roman"/>
                <w:bCs/>
                <w:sz w:val="20"/>
                <w:szCs w:val="20"/>
                <w:lang w:eastAsia="uk-ua"/>
              </w:rPr>
              <w:t>ДЕРЖАВНА НАУКОВА УСТАНОВА "НАУКОВО-ПРАКТИЧНИЙ ЦЕНТР ПРОФІЛАКТИЧНОЇ ТА КЛІНІЧНОЇ МЕДИЦИНИ" ДЕРЖАВНОГО УПРАВЛІННЯ СПРАВАМИ</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05415786</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iнженер-технолог господарського вiддiлу</w:t>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04.05.2023</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3 роки</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Ні</w:t>
            </w:r>
          </w:p>
        </w:tc>
      </w:tr>
      <w:tr>
        <w:trPr>
          <w:cantSplit w:val="0"/>
          <w:trHeight w:val="208"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3</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Член Наглядової ради                                                                                                                                                                                                                                          </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Усенко Антон Юрiйович                                                                               </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1988</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eastAsia="uk-ua"/>
              </w:rPr>
            </w:pPr>
            <w:r>
              <w:rPr>
                <w:rFonts w:ascii="Times New Roman" w:hAnsi="Times New Roman" w:eastAsia="Times New Roman"/>
                <w:bCs/>
                <w:sz w:val="20"/>
                <w:szCs w:val="20"/>
                <w:lang w:eastAsia="uk-ua"/>
              </w:rPr>
              <w:t xml:space="preserve">Вища, Межрегіональна Академія Управління Персоналом, спеціальність "Банківська справа"                                                                                                                                                                        </w:t>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17</w:t>
            </w:r>
          </w:p>
        </w:tc>
        <w:tc>
          <w:tcPr>
            <w:tcW w:w="240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ТОВ "Золотий Терікон"</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32274428</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адміністратор</w:t>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11.04.2017</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5 років</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Ні</w:t>
            </w:r>
          </w:p>
        </w:tc>
      </w:tr>
      <w:tr>
        <w:trPr>
          <w:cantSplit w:val="0"/>
          <w:trHeight w:val="208"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4</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Член Наглядової ради                                                                                                                                                                                                                                          </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Панченко Сергій Олександрович                                                                       </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1986</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eastAsia="uk-ua"/>
              </w:rPr>
              <w:t xml:space="preserve">Вища , Донецький національний університет економіки і торгівлі ім. </w:t>
            </w:r>
            <w:r>
              <w:rPr>
                <w:rFonts w:ascii="Times New Roman" w:hAnsi="Times New Roman" w:eastAsia="Times New Roman"/>
                <w:bCs/>
                <w:sz w:val="20"/>
                <w:szCs w:val="20"/>
                <w:lang w:val="en-us" w:eastAsia="uk-ua"/>
              </w:rPr>
              <w:t xml:space="preserve">М. Туган-Барановського.                                                                                                                                                                    </w:t>
            </w:r>
            <w:r>
              <w:rPr>
                <w:rFonts w:ascii="Times New Roman" w:hAnsi="Times New Roman" w:eastAsia="Times New Roman"/>
                <w:bCs/>
                <w:sz w:val="20"/>
                <w:szCs w:val="20"/>
                <w:lang w:val="en-us" w:eastAsia="uk-ua"/>
              </w:rPr>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10</w:t>
            </w:r>
          </w:p>
        </w:tc>
        <w:tc>
          <w:tcPr>
            <w:tcW w:w="240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eastAsia="uk-ua"/>
              </w:rPr>
            </w:pPr>
            <w:r>
              <w:rPr>
                <w:rFonts w:ascii="Times New Roman" w:hAnsi="Times New Roman" w:eastAsia="Times New Roman"/>
                <w:bCs/>
                <w:sz w:val="20"/>
                <w:szCs w:val="20"/>
                <w:lang w:eastAsia="uk-ua"/>
              </w:rPr>
              <w:t>ТОВ "Вуггілля Інвест"</w:t>
            </w:r>
          </w:p>
          <w:p>
            <w:pPr>
              <w:spacing w:after="0" w:line="240" w:lineRule="auto"/>
              <w:jc w:val="center"/>
              <w:rPr>
                <w:rFonts w:ascii="Times New Roman" w:hAnsi="Times New Roman" w:eastAsia="Times New Roman"/>
                <w:bCs/>
                <w:sz w:val="20"/>
                <w:szCs w:val="20"/>
                <w:lang w:eastAsia="uk-ua"/>
              </w:rPr>
            </w:pPr>
            <w:r>
              <w:rPr>
                <w:rFonts w:ascii="Times New Roman" w:hAnsi="Times New Roman" w:eastAsia="Times New Roman"/>
                <w:bCs/>
                <w:sz w:val="20"/>
                <w:szCs w:val="20"/>
                <w:lang w:eastAsia="uk-ua"/>
              </w:rPr>
            </w:r>
          </w:p>
          <w:p>
            <w:pPr>
              <w:spacing w:after="0" w:line="240" w:lineRule="auto"/>
              <w:jc w:val="center"/>
              <w:rPr>
                <w:rFonts w:ascii="Times New Roman" w:hAnsi="Times New Roman" w:eastAsia="Times New Roman"/>
                <w:bCs/>
                <w:sz w:val="20"/>
                <w:szCs w:val="20"/>
                <w:lang w:eastAsia="uk-ua"/>
              </w:rPr>
            </w:pPr>
            <w:r>
              <w:rPr>
                <w:rFonts w:ascii="Times New Roman" w:hAnsi="Times New Roman" w:eastAsia="Times New Roman"/>
                <w:bCs/>
                <w:sz w:val="20"/>
                <w:szCs w:val="20"/>
                <w:lang w:eastAsia="uk-ua"/>
              </w:rPr>
              <w:t>менеджер зі збуту</w:t>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04.05.2023</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3 роки</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Ні</w:t>
            </w:r>
          </w:p>
        </w:tc>
      </w:tr>
    </w:tbl>
    <w:p>
      <w:pPr>
        <w:spacing w:after="57" w:line="257" w:lineRule="auto"/>
        <w:suppressAutoHyphens/>
        <w:hyphenationLines w:val="0"/>
        <w:widowControl w:val="0"/>
        <w:tabs defTabSz="708">
          <w:tab w:val="right" w:pos="7710" w:leader="none"/>
          <w:tab w:val="right" w:pos="11514" w:leader="none"/>
        </w:tabs>
        <w:rPr>
          <w:rFonts w:ascii="Times New Roman" w:hAnsi="Times New Roman" w:eastAsia="Times New Roman"/>
          <w:sz w:val="24"/>
          <w:szCs w:val="24"/>
          <w:lang w:val="en-us" w:eastAsia="uk-ua"/>
        </w:rPr>
      </w:pPr>
      <w:r>
        <w:rPr>
          <w:rFonts w:ascii="Times New Roman" w:hAnsi="Times New Roman" w:eastAsia="Times New Roman"/>
          <w:sz w:val="24"/>
          <w:szCs w:val="24"/>
          <w:lang w:val="en-us" w:eastAsia="uk-ua"/>
        </w:rPr>
      </w:r>
    </w:p>
    <w:p>
      <w:pPr>
        <w:ind w:left="142"/>
        <w:spacing w:after="57" w:line="257" w:lineRule="auto"/>
        <w:suppressAutoHyphens/>
        <w:hyphenationLines w:val="0"/>
        <w:widowControl w:val="0"/>
        <w:tabs defTabSz="708">
          <w:tab w:val="right" w:pos="7710" w:leader="none"/>
          <w:tab w:val="right" w:pos="11514" w:leader="none"/>
        </w:tabs>
        <w:rPr>
          <w:rFonts w:ascii="Times New Roman" w:hAnsi="Times New Roman" w:eastAsia="Times New Roman"/>
          <w:b/>
          <w:bCs/>
          <w:color w:val="000000"/>
          <w:lang w:val="uk-ua" w:eastAsia="uk-ua"/>
        </w:rPr>
      </w:pPr>
      <w:r>
        <w:rPr>
          <w:rFonts w:ascii="Times New Roman" w:hAnsi="Times New Roman" w:eastAsia="Times New Roman"/>
          <w:b/>
          <w:bCs/>
          <w:color w:val="000000"/>
          <w:lang w:val="uk-ua" w:eastAsia="uk-ua"/>
        </w:rPr>
        <w:t>Виконавчий орган</w:t>
      </w:r>
    </w:p>
    <w:tbl>
      <w:tblPr>
        <w:tblStyle w:val="NormalTable"/>
        <w:name w:val="Таблица8"/>
        <w:tabOrder w:val="0"/>
        <w:jc w:val="center"/>
        <w:tblInd w:w="0" w:type="dxa"/>
        <w:tblW w:w="15851" w:type="dxa"/>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trPr>
          <w:cantSplit w:val="0"/>
          <w:trHeight w:val="974"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w:t>
            </w:r>
          </w:p>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з/п</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tabs defTabSz="708">
                <w:tab w:val="left" w:pos="214" w:leader="none"/>
              </w:tabs>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Посада</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Ім’я</w:t>
            </w:r>
            <w:r>
              <w:rPr>
                <w:rFonts w:ascii="Times New Roman" w:hAnsi="Times New Roman" w:eastAsia="Times New Roman"/>
                <w:b/>
                <w:bCs/>
                <w:sz w:val="20"/>
                <w:szCs w:val="20"/>
                <w:lang w:val="uk-ua" w:eastAsia="uk-ua"/>
              </w:rPr>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РНОКПП</w:t>
            </w:r>
            <w:r>
              <w:rPr>
                <w:rFonts w:ascii="Times New Roman" w:hAnsi="Times New Roman" w:eastAsia="Times New Roman"/>
                <w:b/>
                <w:bCs/>
                <w:sz w:val="20"/>
                <w:szCs w:val="20"/>
                <w:lang w:val="uk-ua" w:eastAsia="uk-ua"/>
              </w:rPr>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УНЗР</w:t>
            </w:r>
            <w:r>
              <w:rPr>
                <w:rFonts w:ascii="Times New Roman" w:hAnsi="Times New Roman" w:eastAsia="Times New Roman"/>
                <w:b/>
                <w:bCs/>
                <w:sz w:val="20"/>
                <w:szCs w:val="20"/>
                <w:lang w:val="uk-ua" w:eastAsia="uk-ua"/>
              </w:rPr>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Рік народження</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Освіта</w:t>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Стаж роботи (років)</w:t>
            </w:r>
          </w:p>
        </w:tc>
        <w:tc>
          <w:tcPr>
            <w:tcW w:w="2409"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sz w:val="20"/>
                <w:szCs w:val="20"/>
                <w:lang w:eastAsia="uk-ua"/>
              </w:rPr>
            </w:pPr>
            <w:r>
              <w:rPr>
                <w:rFonts w:ascii="Times New Roman" w:hAnsi="Times New Roman" w:eastAsia="Times New Roman"/>
                <w:b/>
                <w:sz w:val="20"/>
                <w:szCs w:val="20"/>
                <w:lang w:val="uk-ua" w:eastAsia="uk-ua"/>
              </w:rPr>
              <w:t>Повне найменування, ідентифікаційний код юридичної особи</w:t>
            </w:r>
            <w:r>
              <w:rPr>
                <w:rFonts w:ascii="Times New Roman" w:hAnsi="Times New Roman" w:eastAsia="Times New Roman"/>
                <w:b/>
                <w:sz w:val="20"/>
                <w:szCs w:val="20"/>
                <w:lang w:eastAsia="uk-ua"/>
              </w:rPr>
              <w:t xml:space="preserve"> </w:t>
            </w:r>
          </w:p>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та посада(и), яку(і) займав(є) за</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останні</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5</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років</w:t>
            </w:r>
            <w:r>
              <w:rPr>
                <w:rFonts w:ascii="Times New Roman" w:hAnsi="Times New Roman" w:eastAsia="Times New Roman"/>
                <w:b/>
                <w:bCs/>
                <w:sz w:val="20"/>
                <w:szCs w:val="20"/>
                <w:lang w:val="uk-ua" w:eastAsia="uk-ua"/>
              </w:rPr>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88" protected="0"/>
          </w:tcPr>
          <w:p>
            <w:pPr>
              <w:ind w:left="-15"/>
              <w:spacing w:after="0" w:line="240" w:lineRule="auto"/>
              <w:jc w:val="center"/>
              <w:rPr>
                <w:rFonts w:ascii="Times New Roman" w:hAnsi="Times New Roman" w:eastAsia="Times New Roman"/>
                <w:b/>
                <w:bCs/>
                <w:sz w:val="20"/>
                <w:szCs w:val="20"/>
                <w:lang w:eastAsia="uk-ua"/>
              </w:rPr>
            </w:pPr>
            <w:r>
              <w:rPr>
                <w:rFonts w:ascii="Times New Roman" w:hAnsi="Times New Roman" w:eastAsia="Times New Roman"/>
                <w:b/>
                <w:sz w:val="20"/>
                <w:szCs w:val="20"/>
                <w:lang w:val="uk-ua" w:eastAsia="uk-ua"/>
              </w:rPr>
              <w:t>Дата набуття повноважень та строк, на</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який обрано</w:t>
            </w:r>
            <w:r>
              <w:rPr>
                <w:rFonts w:ascii="Times New Roman" w:hAnsi="Times New Roman" w:eastAsia="Times New Roman"/>
                <w:b/>
                <w:bCs/>
                <w:sz w:val="20"/>
                <w:szCs w:val="20"/>
                <w:lang w:eastAsia="uk-ua"/>
              </w:rPr>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88" protected="0"/>
          </w:tcPr>
          <w:p>
            <w:pPr>
              <w:ind w:left="-15"/>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Непогашена судимість за корисливі та</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 xml:space="preserve">посадові злочини </w:t>
            </w:r>
            <w:r>
              <w:rPr>
                <w:rFonts w:ascii="Times New Roman" w:hAnsi="Times New Roman" w:eastAsia="Times New Roman"/>
                <w:b/>
                <w:sz w:val="20"/>
                <w:szCs w:val="20"/>
                <w:lang w:val="uk-ua" w:eastAsia="uk-ua"/>
              </w:rPr>
              <w:br w:type="textWrapping"/>
              <w:t>(Так/Ні)</w:t>
            </w:r>
            <w:r>
              <w:rPr>
                <w:rFonts w:ascii="Times New Roman" w:hAnsi="Times New Roman" w:eastAsia="Times New Roman"/>
                <w:b/>
                <w:bCs/>
                <w:sz w:val="20"/>
                <w:szCs w:val="20"/>
                <w:lang w:val="uk-ua" w:eastAsia="uk-ua"/>
              </w:rPr>
            </w:r>
          </w:p>
        </w:tc>
      </w:tr>
      <w:tr>
        <w:trPr>
          <w:cantSplit w:val="0"/>
          <w:trHeight w:val="208"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1</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2</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3</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4</w:t>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5</w:t>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6</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7</w:t>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8</w:t>
            </w:r>
          </w:p>
        </w:tc>
        <w:tc>
          <w:tcPr>
            <w:tcW w:w="240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9</w:t>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10</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11</w:t>
            </w:r>
          </w:p>
        </w:tc>
      </w:tr>
      <w:tr>
        <w:trPr>
          <w:cantSplit w:val="0"/>
          <w:trHeight w:val="208"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Голова правління                                                                                                                                                                                                                                              </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Горда Максим Сергійович                                                                             </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1985</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eastAsia="uk-ua"/>
              </w:rPr>
            </w:pPr>
            <w:r>
              <w:rPr>
                <w:rFonts w:ascii="Times New Roman" w:hAnsi="Times New Roman" w:eastAsia="Times New Roman"/>
                <w:bCs/>
                <w:sz w:val="20"/>
                <w:szCs w:val="20"/>
                <w:lang w:eastAsia="uk-ua"/>
              </w:rPr>
              <w:t xml:space="preserve">Донецький державний університет управління, спеціальність "Менеджмент зовнішньоекономічної діяльності"                                                                                                                                                        </w:t>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9</w:t>
            </w:r>
          </w:p>
        </w:tc>
        <w:tc>
          <w:tcPr>
            <w:tcW w:w="240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ФОП Павлюк С.В.</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менеджер роздрібної торгівлі</w:t>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10.11.2021</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Безстроково</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Ні</w:t>
            </w:r>
          </w:p>
        </w:tc>
      </w:tr>
      <w:tr>
        <w:trPr>
          <w:cantSplit w:val="0"/>
          <w:trHeight w:val="208"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2</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Член правління-Головний бухгалтер                                                                                                                                                                                                                             </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Демидовап Юлія Олександрівна                                                                        </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              </w:t>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1978</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 xml:space="preserve">Вища, ДонНУ                                                                                                                                                                                                                                                   </w:t>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13</w:t>
            </w:r>
          </w:p>
        </w:tc>
        <w:tc>
          <w:tcPr>
            <w:tcW w:w="240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ТОВ "ДВК"</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40753113</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Директор</w:t>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18.05.2020</w:t>
            </w:r>
          </w:p>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Безстроково</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Ні</w:t>
            </w:r>
          </w:p>
        </w:tc>
      </w:tr>
    </w:tbl>
    <w:p>
      <w:pPr>
        <w:spacing w:after="0" w:line="240" w:lineRule="auto"/>
        <w:rPr>
          <w:rFonts w:ascii="Times New Roman" w:hAnsi="Times New Roman" w:eastAsia="Times New Roman"/>
          <w:sz w:val="24"/>
          <w:szCs w:val="24"/>
          <w:lang w:val="en-us" w:eastAsia="uk-ua"/>
        </w:rPr>
      </w:pPr>
      <w:r>
        <w:rPr>
          <w:rFonts w:ascii="Times New Roman" w:hAnsi="Times New Roman" w:eastAsia="Times New Roman"/>
          <w:sz w:val="24"/>
          <w:szCs w:val="24"/>
          <w:lang w:val="en-us" w:eastAsia="uk-ua"/>
        </w:rPr>
      </w:r>
    </w:p>
    <w:p>
      <w:pPr>
        <w:ind w:left="142"/>
        <w:spacing w:before="57"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b/>
          <w:color w:val="000000"/>
          <w:lang w:val="uk-ua" w:eastAsia="uk-ua"/>
        </w:rPr>
      </w:pPr>
      <w:r>
        <w:rPr>
          <w:rFonts w:ascii="Times New Roman" w:hAnsi="Times New Roman" w:eastAsia="Times New Roman"/>
          <w:b/>
          <w:color w:val="000000"/>
          <w:lang w:val="uk-ua" w:eastAsia="uk-ua"/>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Style w:val="NormalTable"/>
        <w:name w:val="Таблица9"/>
        <w:tabOrder w:val="0"/>
        <w:jc w:val="center"/>
        <w:tblInd w:w="0" w:type="dxa"/>
        <w:tblW w:w="15851" w:type="dxa"/>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trPr>
          <w:cantSplit w:val="0"/>
          <w:trHeight w:val="974"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w:t>
            </w:r>
          </w:p>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з/п</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tabs defTabSz="708">
                <w:tab w:val="left" w:pos="214" w:leader="none"/>
              </w:tabs>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Посада</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Ім’я</w:t>
            </w:r>
            <w:r>
              <w:rPr>
                <w:rFonts w:ascii="Times New Roman" w:hAnsi="Times New Roman" w:eastAsia="Times New Roman"/>
                <w:b/>
                <w:bCs/>
                <w:sz w:val="20"/>
                <w:szCs w:val="20"/>
                <w:lang w:val="uk-ua" w:eastAsia="uk-ua"/>
              </w:rPr>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РНОКПП</w:t>
            </w:r>
            <w:r>
              <w:rPr>
                <w:rFonts w:ascii="Times New Roman" w:hAnsi="Times New Roman" w:eastAsia="Times New Roman"/>
                <w:b/>
                <w:bCs/>
                <w:sz w:val="20"/>
                <w:szCs w:val="20"/>
                <w:lang w:val="uk-ua" w:eastAsia="uk-ua"/>
              </w:rPr>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УНЗР</w:t>
            </w:r>
            <w:r>
              <w:rPr>
                <w:rFonts w:ascii="Times New Roman" w:hAnsi="Times New Roman" w:eastAsia="Times New Roman"/>
                <w:b/>
                <w:bCs/>
                <w:sz w:val="20"/>
                <w:szCs w:val="20"/>
                <w:lang w:val="uk-ua" w:eastAsia="uk-ua"/>
              </w:rPr>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Рік народження</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Освіта</w:t>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Стаж роботи (років)</w:t>
            </w:r>
          </w:p>
        </w:tc>
        <w:tc>
          <w:tcPr>
            <w:tcW w:w="2409"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sz w:val="20"/>
                <w:szCs w:val="20"/>
                <w:lang w:eastAsia="uk-ua"/>
              </w:rPr>
            </w:pPr>
            <w:r>
              <w:rPr>
                <w:rFonts w:ascii="Times New Roman" w:hAnsi="Times New Roman" w:eastAsia="Times New Roman"/>
                <w:b/>
                <w:sz w:val="20"/>
                <w:szCs w:val="20"/>
                <w:lang w:val="uk-ua" w:eastAsia="uk-ua"/>
              </w:rPr>
              <w:t>Повне найменування, ідентифікаційний код юридичної особи</w:t>
            </w:r>
            <w:r>
              <w:rPr>
                <w:rFonts w:ascii="Times New Roman" w:hAnsi="Times New Roman" w:eastAsia="Times New Roman"/>
                <w:b/>
                <w:sz w:val="20"/>
                <w:szCs w:val="20"/>
                <w:lang w:eastAsia="uk-ua"/>
              </w:rPr>
              <w:t xml:space="preserve"> </w:t>
            </w:r>
          </w:p>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та посада(и), яку(і) займав(є) за</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останні</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5</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років</w:t>
            </w:r>
            <w:r>
              <w:rPr>
                <w:rFonts w:ascii="Times New Roman" w:hAnsi="Times New Roman" w:eastAsia="Times New Roman"/>
                <w:b/>
                <w:bCs/>
                <w:sz w:val="20"/>
                <w:szCs w:val="20"/>
                <w:lang w:val="uk-ua" w:eastAsia="uk-ua"/>
              </w:rPr>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88" protected="0"/>
          </w:tcPr>
          <w:p>
            <w:pPr>
              <w:ind w:left="-15"/>
              <w:spacing w:after="0" w:line="240" w:lineRule="auto"/>
              <w:jc w:val="center"/>
              <w:rPr>
                <w:rFonts w:ascii="Times New Roman" w:hAnsi="Times New Roman" w:eastAsia="Times New Roman"/>
                <w:b/>
                <w:bCs/>
                <w:sz w:val="20"/>
                <w:szCs w:val="20"/>
                <w:lang w:eastAsia="uk-ua"/>
              </w:rPr>
            </w:pPr>
            <w:r>
              <w:rPr>
                <w:rFonts w:ascii="Times New Roman" w:hAnsi="Times New Roman" w:eastAsia="Times New Roman"/>
                <w:b/>
                <w:sz w:val="20"/>
                <w:szCs w:val="20"/>
                <w:lang w:val="uk-ua" w:eastAsia="uk-ua"/>
              </w:rPr>
              <w:t>Дата набуття повноважень та строк, на</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який обрано</w:t>
            </w:r>
            <w:r>
              <w:rPr>
                <w:rFonts w:ascii="Times New Roman" w:hAnsi="Times New Roman" w:eastAsia="Times New Roman"/>
                <w:b/>
                <w:bCs/>
                <w:sz w:val="20"/>
                <w:szCs w:val="20"/>
                <w:lang w:eastAsia="uk-ua"/>
              </w:rPr>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88" protected="0"/>
          </w:tcPr>
          <w:p>
            <w:pPr>
              <w:ind w:left="-15"/>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Непогашена судимість за корисливі та</w:t>
            </w:r>
            <w:r>
              <w:rPr>
                <w:rFonts w:ascii="Times New Roman" w:hAnsi="Times New Roman" w:eastAsia="Times New Roman"/>
                <w:b/>
                <w:sz w:val="20"/>
                <w:szCs w:val="20"/>
                <w:lang w:eastAsia="uk-ua"/>
              </w:rPr>
              <w:t xml:space="preserve"> </w:t>
            </w:r>
            <w:r>
              <w:rPr>
                <w:rFonts w:ascii="Times New Roman" w:hAnsi="Times New Roman" w:eastAsia="Times New Roman"/>
                <w:b/>
                <w:sz w:val="20"/>
                <w:szCs w:val="20"/>
                <w:lang w:val="uk-ua" w:eastAsia="uk-ua"/>
              </w:rPr>
              <w:t xml:space="preserve">посадові злочини </w:t>
            </w:r>
            <w:r>
              <w:rPr>
                <w:rFonts w:ascii="Times New Roman" w:hAnsi="Times New Roman" w:eastAsia="Times New Roman"/>
                <w:b/>
                <w:sz w:val="20"/>
                <w:szCs w:val="20"/>
                <w:lang w:val="uk-ua" w:eastAsia="uk-ua"/>
              </w:rPr>
              <w:br w:type="textWrapping"/>
              <w:t>(Так/Ні)</w:t>
            </w:r>
            <w:r>
              <w:rPr>
                <w:rFonts w:ascii="Times New Roman" w:hAnsi="Times New Roman" w:eastAsia="Times New Roman"/>
                <w:b/>
                <w:bCs/>
                <w:sz w:val="20"/>
                <w:szCs w:val="20"/>
                <w:lang w:val="uk-ua" w:eastAsia="uk-ua"/>
              </w:rPr>
            </w:r>
          </w:p>
        </w:tc>
      </w:tr>
      <w:tr>
        <w:trPr>
          <w:cantSplit w:val="0"/>
          <w:trHeight w:val="208" w:hRule="atLeast"/>
        </w:trPr>
        <w:tc>
          <w:tcPr>
            <w:tcW w:w="5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1</w:t>
            </w:r>
          </w:p>
        </w:tc>
        <w:tc>
          <w:tcPr>
            <w:tcW w:w="2304"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2</w:t>
            </w:r>
          </w:p>
        </w:tc>
        <w:tc>
          <w:tcPr>
            <w:tcW w:w="21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3</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4</w:t>
            </w:r>
          </w:p>
        </w:tc>
        <w:tc>
          <w:tcPr>
            <w:tcW w:w="163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5</w:t>
            </w:r>
          </w:p>
        </w:tc>
        <w:tc>
          <w:tcPr>
            <w:tcW w:w="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6</w:t>
            </w:r>
          </w:p>
        </w:tc>
        <w:tc>
          <w:tcPr>
            <w:tcW w:w="152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7</w:t>
            </w:r>
          </w:p>
        </w:tc>
        <w:tc>
          <w:tcPr>
            <w:tcW w:w="89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8</w:t>
            </w:r>
          </w:p>
        </w:tc>
        <w:tc>
          <w:tcPr>
            <w:tcW w:w="240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9</w:t>
            </w:r>
          </w:p>
        </w:tc>
        <w:tc>
          <w:tcPr>
            <w:tcW w:w="129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10</w:t>
            </w:r>
          </w:p>
        </w:tc>
        <w:tc>
          <w:tcPr>
            <w:tcW w:w="11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11</w:t>
            </w:r>
          </w:p>
        </w:tc>
      </w:tr>
    </w:tbl>
    <w:p>
      <w:pPr>
        <w:spacing w:after="0" w:line="240" w:lineRule="auto"/>
        <w:rPr>
          <w:rFonts w:ascii="Times New Roman" w:hAnsi="Times New Roman" w:eastAsia="Times New Roman"/>
          <w:sz w:val="24"/>
          <w:szCs w:val="24"/>
          <w:lang w:val="en-us" w:eastAsia="uk-ua"/>
        </w:rPr>
      </w:pPr>
      <w:r>
        <w:rPr>
          <w:rFonts w:ascii="Times New Roman" w:hAnsi="Times New Roman" w:eastAsia="Times New Roman"/>
          <w:sz w:val="24"/>
          <w:szCs w:val="24"/>
          <w:lang w:val="en-us" w:eastAsia="uk-ua"/>
        </w:rPr>
      </w:r>
    </w:p>
    <w:p>
      <w:pPr>
        <w:spacing w:after="0" w:line="240" w:lineRule="auto"/>
        <w:rPr>
          <w:rFonts w:ascii="Times New Roman" w:hAnsi="Times New Roman" w:eastAsia="Times New Roman"/>
          <w:sz w:val="24"/>
          <w:szCs w:val="24"/>
          <w:lang w:val="en-us" w:eastAsia="uk-ua"/>
        </w:rPr>
      </w:pPr>
      <w:r>
        <w:rPr>
          <w:rFonts w:ascii="Times New Roman" w:hAnsi="Times New Roman" w:eastAsia="Times New Roman"/>
          <w:sz w:val="24"/>
          <w:szCs w:val="24"/>
          <w:lang w:val="en-us" w:eastAsia="uk-ua"/>
        </w:rPr>
      </w:r>
    </w:p>
    <w:p>
      <w:pPr>
        <w:spacing w:before="57"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Інформація щодо володіння посадовими особами акціями особи</w:t>
      </w:r>
    </w:p>
    <w:p>
      <w:pPr>
        <w:spacing w:before="57"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color w:val="000000"/>
          <w:sz w:val="8"/>
          <w:szCs w:val="8"/>
          <w:lang w:val="uk-ua" w:eastAsia="uk-ua"/>
        </w:rPr>
      </w:pPr>
      <w:r>
        <w:rPr>
          <w:rFonts w:ascii="Times New Roman" w:hAnsi="Times New Roman" w:eastAsia="Times New Roman"/>
          <w:b/>
          <w:color w:val="000000"/>
          <w:sz w:val="8"/>
          <w:szCs w:val="8"/>
          <w:lang w:val="uk-ua" w:eastAsia="uk-ua"/>
        </w:rPr>
      </w:r>
    </w:p>
    <w:tbl>
      <w:tblPr>
        <w:tblStyle w:val="NormalTable"/>
        <w:name w:val="Таблица10"/>
        <w:tabOrder w:val="0"/>
        <w:jc w:val="left"/>
        <w:tblInd w:w="0" w:type="dxa"/>
        <w:tblW w:w="16236" w:type="dxa"/>
        <w:tblLook w:val="0000" w:firstRow="0" w:lastRow="0" w:firstColumn="0" w:lastColumn="0" w:noHBand="0" w:noVBand="0"/>
      </w:tblPr>
      <w:tblGrid>
        <w:gridCol w:w="498"/>
        <w:gridCol w:w="2778"/>
        <w:gridCol w:w="3543"/>
        <w:gridCol w:w="1275"/>
        <w:gridCol w:w="1702"/>
        <w:gridCol w:w="1559"/>
        <w:gridCol w:w="1600"/>
        <w:gridCol w:w="1532"/>
        <w:gridCol w:w="1749"/>
      </w:tblGrid>
      <w:tr>
        <w:trPr>
          <w:cantSplit w:val="0"/>
          <w:trHeight w:val="20" w:hRule="atLeast"/>
        </w:trPr>
        <w:tc>
          <w:tcPr>
            <w:tcW w:w="498" w:type="dxa"/>
            <w:vMerge w:val="restart"/>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 з/п</w:t>
            </w:r>
            <w:r>
              <w:rPr>
                <w:rFonts w:ascii="Times New Roman" w:hAnsi="Times New Roman" w:eastAsia="Times New Roman"/>
                <w:b/>
                <w:bCs/>
                <w:sz w:val="20"/>
                <w:szCs w:val="20"/>
                <w:lang w:val="uk-ua" w:eastAsia="uk-ua"/>
              </w:rPr>
            </w:r>
          </w:p>
        </w:tc>
        <w:tc>
          <w:tcPr>
            <w:tcW w:w="2778" w:type="dxa"/>
            <w:vMerge w:val="restart"/>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Посада</w:t>
            </w:r>
          </w:p>
        </w:tc>
        <w:tc>
          <w:tcPr>
            <w:tcW w:w="3543" w:type="dxa"/>
            <w:vMerge w:val="restart"/>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Ім’я</w:t>
            </w:r>
            <w:r/>
            <w:bookmarkStart w:id="4" w:name="10109"/>
            <w:r/>
            <w:bookmarkEnd w:id="4"/>
            <w:r/>
            <w:r>
              <w:rPr>
                <w:rFonts w:ascii="Times New Roman" w:hAnsi="Times New Roman" w:eastAsia="Times New Roman"/>
                <w:b/>
                <w:bCs/>
                <w:sz w:val="20"/>
                <w:szCs w:val="20"/>
                <w:lang w:val="uk-ua" w:eastAsia="uk-ua"/>
              </w:rPr>
            </w:r>
          </w:p>
        </w:tc>
        <w:tc>
          <w:tcPr>
            <w:tcW w:w="1275" w:type="dxa"/>
            <w:vMerge w:val="restart"/>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3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РНОКПП</w:t>
            </w:r>
            <w:r>
              <w:rPr>
                <w:rFonts w:ascii="Times New Roman" w:hAnsi="Times New Roman" w:eastAsia="Times New Roman"/>
                <w:b/>
                <w:bCs/>
                <w:sz w:val="20"/>
                <w:szCs w:val="20"/>
                <w:lang w:val="uk-ua" w:eastAsia="uk-ua"/>
              </w:rPr>
            </w:r>
          </w:p>
        </w:tc>
        <w:tc>
          <w:tcPr>
            <w:tcW w:w="1702" w:type="dxa"/>
            <w:vMerge w:val="restart"/>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УНЗР</w:t>
            </w:r>
            <w:r>
              <w:rPr>
                <w:rFonts w:ascii="Times New Roman" w:hAnsi="Times New Roman" w:eastAsia="Times New Roman"/>
                <w:b/>
                <w:bCs/>
                <w:sz w:val="20"/>
                <w:szCs w:val="20"/>
                <w:lang w:val="uk-ua" w:eastAsia="uk-ua"/>
              </w:rPr>
            </w:r>
          </w:p>
        </w:tc>
        <w:tc>
          <w:tcPr>
            <w:tcW w:w="1559" w:type="dxa"/>
            <w:vMerge w:val="restart"/>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Кількість акцій (штук)</w:t>
            </w:r>
          </w:p>
        </w:tc>
        <w:tc>
          <w:tcPr>
            <w:tcW w:w="1600" w:type="dxa"/>
            <w:vMerge w:val="restart"/>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Від загальної кількості акцій (у відсотках)</w:t>
            </w:r>
          </w:p>
        </w:tc>
        <w:tc>
          <w:tcPr>
            <w:tcW w:w="3281" w:type="dxa"/>
            <w:gridSpan w:val="2"/>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Кількість за видами акцій</w:t>
            </w:r>
          </w:p>
        </w:tc>
      </w:tr>
      <w:tr>
        <w:trPr>
          <w:cantSplit w:val="0"/>
          <w:trHeight w:val="0" w:hRule="auto"/>
        </w:trPr>
        <w:tc>
          <w:tcPr>
            <w:tcW w:w="498" w:type="dxa"/>
            <w:vMerge/>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tc>
        <w:tc>
          <w:tcPr>
            <w:tcW w:w="2778" w:type="dxa"/>
            <w:vMerge/>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tc>
        <w:tc>
          <w:tcPr>
            <w:tcW w:w="3543" w:type="dxa"/>
            <w:vMerge/>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tc>
        <w:tc>
          <w:tcPr>
            <w:tcW w:w="1275" w:type="dxa"/>
            <w:vMerge/>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tc>
        <w:tc>
          <w:tcPr>
            <w:tcW w:w="1702" w:type="dxa"/>
            <w:vMerge/>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tc>
        <w:tc>
          <w:tcPr>
            <w:tcW w:w="1559" w:type="dxa"/>
            <w:vMerge/>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tc>
        <w:tc>
          <w:tcPr>
            <w:tcW w:w="1600" w:type="dxa"/>
            <w:vMerge/>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tc>
        <w:tc>
          <w:tcPr>
            <w:tcW w:w="15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прості іменні</w:t>
            </w:r>
          </w:p>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r>
          </w:p>
        </w:tc>
        <w:tc>
          <w:tcPr>
            <w:tcW w:w="174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243"/>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 xml:space="preserve">  </w:t>
            </w:r>
            <w:r>
              <w:rPr>
                <w:rFonts w:ascii="Times New Roman" w:hAnsi="Times New Roman" w:eastAsia="Times New Roman"/>
                <w:b/>
                <w:bCs/>
                <w:sz w:val="20"/>
                <w:szCs w:val="20"/>
                <w:lang w:val="uk-ua" w:eastAsia="uk-ua"/>
              </w:rPr>
              <w:t>Привілейовані</w:t>
            </w:r>
            <w:r>
              <w:rPr>
                <w:rFonts w:ascii="Times New Roman" w:hAnsi="Times New Roman" w:eastAsia="Times New Roman"/>
                <w:b/>
                <w:bCs/>
                <w:sz w:val="20"/>
                <w:szCs w:val="20"/>
                <w:lang w:val="en-us" w:eastAsia="uk-ua"/>
              </w:rPr>
            </w:r>
          </w:p>
          <w:p>
            <w:pPr>
              <w:ind w:left="-243"/>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іменні</w:t>
            </w:r>
          </w:p>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r>
          </w:p>
        </w:tc>
      </w:tr>
      <w:tr>
        <w:trPr>
          <w:cantSplit w:val="0"/>
          <w:trHeight w:val="0" w:hRule="auto"/>
        </w:trPr>
        <w:tc>
          <w:tcPr>
            <w:tcW w:w="498" w:type="dxa"/>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1</w:t>
            </w:r>
          </w:p>
        </w:tc>
        <w:tc>
          <w:tcPr>
            <w:tcW w:w="2778"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2</w:t>
            </w:r>
          </w:p>
        </w:tc>
        <w:tc>
          <w:tcPr>
            <w:tcW w:w="3543"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3</w:t>
            </w:r>
          </w:p>
        </w:tc>
        <w:tc>
          <w:tcPr>
            <w:tcW w:w="127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4</w:t>
            </w:r>
          </w:p>
        </w:tc>
        <w:tc>
          <w:tcPr>
            <w:tcW w:w="170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5</w:t>
            </w:r>
          </w:p>
        </w:tc>
        <w:tc>
          <w:tcPr>
            <w:tcW w:w="155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6</w:t>
            </w:r>
          </w:p>
        </w:tc>
        <w:tc>
          <w:tcPr>
            <w:tcW w:w="160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7</w:t>
            </w:r>
          </w:p>
        </w:tc>
        <w:tc>
          <w:tcPr>
            <w:tcW w:w="15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8</w:t>
            </w:r>
          </w:p>
        </w:tc>
        <w:tc>
          <w:tcPr>
            <w:tcW w:w="174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en-us" w:eastAsia="uk-ua"/>
              </w:rPr>
            </w:pPr>
            <w:r>
              <w:rPr>
                <w:rFonts w:ascii="Times New Roman" w:hAnsi="Times New Roman" w:eastAsia="Times New Roman"/>
                <w:b/>
                <w:bCs/>
                <w:sz w:val="20"/>
                <w:szCs w:val="20"/>
                <w:lang w:val="en-us" w:eastAsia="uk-ua"/>
              </w:rPr>
              <w:t>9</w:t>
            </w:r>
          </w:p>
        </w:tc>
      </w:tr>
      <w:tr>
        <w:trPr>
          <w:cantSplit w:val="0"/>
          <w:trHeight w:val="0" w:hRule="auto"/>
        </w:trPr>
        <w:tc>
          <w:tcPr>
            <w:tcW w:w="498" w:type="dxa"/>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1</w:t>
            </w:r>
          </w:p>
        </w:tc>
        <w:tc>
          <w:tcPr>
            <w:tcW w:w="2778"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Голова правлiння</w:t>
            </w:r>
          </w:p>
        </w:tc>
        <w:tc>
          <w:tcPr>
            <w:tcW w:w="3543"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Горда Максим Сергiйович</w:t>
            </w:r>
          </w:p>
        </w:tc>
        <w:tc>
          <w:tcPr>
            <w:tcW w:w="127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70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55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60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5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74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r>
      <w:tr>
        <w:trPr>
          <w:cantSplit w:val="0"/>
          <w:trHeight w:val="0" w:hRule="auto"/>
        </w:trPr>
        <w:tc>
          <w:tcPr>
            <w:tcW w:w="498" w:type="dxa"/>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2</w:t>
            </w:r>
          </w:p>
        </w:tc>
        <w:tc>
          <w:tcPr>
            <w:tcW w:w="2778"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Член правління - Головний бухгалтер</w:t>
            </w:r>
          </w:p>
        </w:tc>
        <w:tc>
          <w:tcPr>
            <w:tcW w:w="3543"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Демидова Юлія Олександрівна</w:t>
            </w:r>
          </w:p>
        </w:tc>
        <w:tc>
          <w:tcPr>
            <w:tcW w:w="127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70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55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60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5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74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r>
      <w:tr>
        <w:trPr>
          <w:cantSplit w:val="0"/>
          <w:trHeight w:val="0" w:hRule="auto"/>
        </w:trPr>
        <w:tc>
          <w:tcPr>
            <w:tcW w:w="498" w:type="dxa"/>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3</w:t>
            </w:r>
          </w:p>
        </w:tc>
        <w:tc>
          <w:tcPr>
            <w:tcW w:w="2778"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Голова Наглядової ради</w:t>
            </w:r>
          </w:p>
        </w:tc>
        <w:tc>
          <w:tcPr>
            <w:tcW w:w="3543"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Лобов Сергiй Вiкторович</w:t>
            </w:r>
          </w:p>
        </w:tc>
        <w:tc>
          <w:tcPr>
            <w:tcW w:w="127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70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55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60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22.748</w:t>
            </w:r>
          </w:p>
        </w:tc>
        <w:tc>
          <w:tcPr>
            <w:tcW w:w="15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74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r>
      <w:tr>
        <w:trPr>
          <w:cantSplit w:val="0"/>
          <w:trHeight w:val="0" w:hRule="auto"/>
        </w:trPr>
        <w:tc>
          <w:tcPr>
            <w:tcW w:w="498" w:type="dxa"/>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4</w:t>
            </w:r>
          </w:p>
        </w:tc>
        <w:tc>
          <w:tcPr>
            <w:tcW w:w="2778"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Член Наглядової ради</w:t>
            </w:r>
          </w:p>
        </w:tc>
        <w:tc>
          <w:tcPr>
            <w:tcW w:w="3543"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Iванов Олексiй Миколайович</w:t>
            </w:r>
          </w:p>
        </w:tc>
        <w:tc>
          <w:tcPr>
            <w:tcW w:w="127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70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55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60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5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74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r>
      <w:tr>
        <w:trPr>
          <w:cantSplit w:val="0"/>
          <w:trHeight w:val="0" w:hRule="auto"/>
        </w:trPr>
        <w:tc>
          <w:tcPr>
            <w:tcW w:w="498" w:type="dxa"/>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5</w:t>
            </w:r>
          </w:p>
        </w:tc>
        <w:tc>
          <w:tcPr>
            <w:tcW w:w="2778"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Член Наглядової ради</w:t>
            </w:r>
          </w:p>
        </w:tc>
        <w:tc>
          <w:tcPr>
            <w:tcW w:w="3543"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Усенко Антон Юрiйович</w:t>
            </w:r>
          </w:p>
        </w:tc>
        <w:tc>
          <w:tcPr>
            <w:tcW w:w="127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70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55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60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5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74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r>
      <w:tr>
        <w:trPr>
          <w:cantSplit w:val="0"/>
          <w:trHeight w:val="0" w:hRule="auto"/>
        </w:trPr>
        <w:tc>
          <w:tcPr>
            <w:tcW w:w="498" w:type="dxa"/>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6</w:t>
            </w:r>
          </w:p>
        </w:tc>
        <w:tc>
          <w:tcPr>
            <w:tcW w:w="2778"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Ревізор</w:t>
            </w:r>
          </w:p>
        </w:tc>
        <w:tc>
          <w:tcPr>
            <w:tcW w:w="3543"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Кононенко Наталiя Анатолiївна</w:t>
            </w:r>
          </w:p>
        </w:tc>
        <w:tc>
          <w:tcPr>
            <w:tcW w:w="127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70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r>
          </w:p>
        </w:tc>
        <w:tc>
          <w:tcPr>
            <w:tcW w:w="155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60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5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c>
          <w:tcPr>
            <w:tcW w:w="174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0</w:t>
            </w:r>
          </w:p>
        </w:tc>
      </w:tr>
    </w:tbl>
    <w:p>
      <w:pPr>
        <w:ind w:left="-709"/>
        <w:spacing w:after="0" w:line="240" w:lineRule="auto"/>
        <w:rPr>
          <w:rFonts w:ascii="Times New Roman" w:hAnsi="Times New Roman" w:eastAsia="Times New Roman"/>
          <w:sz w:val="24"/>
          <w:szCs w:val="24"/>
          <w:lang w:val="uk-ua" w:eastAsia="uk-ua"/>
        </w:rPr>
      </w:pPr>
      <w:r>
        <w:rPr>
          <w:rFonts w:ascii="Times New Roman" w:hAnsi="Times New Roman" w:eastAsia="Times New Roman"/>
          <w:sz w:val="24"/>
          <w:szCs w:val="24"/>
          <w:lang w:val="uk-ua"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12"/>
          <w:footerReference w:type="default" r:id="rId13"/>
          <w:type w:val="nextPage"/>
          <w:pgSz w:h="11906" w:w="16838" w:orient="landscape"/>
          <w:pgMar w:left="363" w:top="567" w:right="363" w:bottom="567"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ind w:left="-567"/>
        <w:spacing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Організаційна структура:</w:t>
      </w:r>
    </w:p>
    <w:p>
      <w:pPr>
        <w:ind w:left="-567"/>
        <w:spacing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r>
    </w:p>
    <w:p>
      <w:pPr>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b/>
          <w:bCs/>
          <w:color w:val="000000"/>
          <w:sz w:val="20"/>
          <w:szCs w:val="20"/>
          <w:lang w:eastAsia="uk-ua"/>
        </w:rPr>
      </w:pPr>
      <w:r>
        <w:rPr>
          <w:rFonts w:ascii="Times New Roman" w:hAnsi="Times New Roman" w:eastAsia="Times New Roman"/>
          <w:color w:val="000000"/>
          <w:sz w:val="20"/>
          <w:szCs w:val="20"/>
          <w:lang w:val="uk-ua" w:eastAsia="uk-ua"/>
        </w:rPr>
        <w:t>URL-адреса вебсайту особи, за якою розміщено організаційну структуру особи у вигляді схематичного зображення</w:t>
      </w:r>
      <w:r>
        <w:rPr>
          <w:rFonts w:ascii="Times New Roman" w:hAnsi="Times New Roman" w:eastAsia="Times New Roman"/>
          <w:color w:val="000000"/>
          <w:sz w:val="20"/>
          <w:szCs w:val="20"/>
          <w:lang w:eastAsia="uk-ua"/>
        </w:rPr>
        <w:t>:</w:t>
      </w:r>
      <w:r>
        <w:rPr>
          <w:rFonts w:ascii="Times New Roman" w:hAnsi="Times New Roman" w:eastAsia="Times New Roman"/>
          <w:b/>
          <w:bCs/>
          <w:color w:val="000000"/>
          <w:sz w:val="20"/>
          <w:szCs w:val="20"/>
          <w:lang w:eastAsia="uk-ua"/>
        </w:rPr>
      </w:r>
    </w:p>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https</w:t>
      </w:r>
      <w:r>
        <w:rPr>
          <w:rFonts w:ascii="Times New Roman" w:hAnsi="Times New Roman" w:eastAsia="Times New Roman"/>
          <w:sz w:val="20"/>
          <w:szCs w:val="20"/>
          <w:lang w:eastAsia="uk-ua"/>
        </w:rPr>
        <w:t>://</w:t>
      </w:r>
      <w:r>
        <w:rPr>
          <w:rFonts w:ascii="Times New Roman" w:hAnsi="Times New Roman" w:eastAsia="Times New Roman"/>
          <w:sz w:val="20"/>
          <w:szCs w:val="20"/>
          <w:lang w:val="en-us" w:eastAsia="uk-ua"/>
        </w:rPr>
        <w:t>fakel</w:t>
      </w:r>
      <w:r>
        <w:rPr>
          <w:rFonts w:ascii="Times New Roman" w:hAnsi="Times New Roman" w:eastAsia="Times New Roman"/>
          <w:sz w:val="20"/>
          <w:szCs w:val="20"/>
          <w:lang w:eastAsia="uk-ua"/>
        </w:rPr>
        <w:t>.</w:t>
      </w:r>
      <w:r>
        <w:rPr>
          <w:rFonts w:ascii="Times New Roman" w:hAnsi="Times New Roman" w:eastAsia="Times New Roman"/>
          <w:sz w:val="20"/>
          <w:szCs w:val="20"/>
          <w:lang w:val="en-us" w:eastAsia="uk-ua"/>
        </w:rPr>
        <w:t>pat</w:t>
      </w:r>
      <w:r>
        <w:rPr>
          <w:rFonts w:ascii="Times New Roman" w:hAnsi="Times New Roman" w:eastAsia="Times New Roman"/>
          <w:sz w:val="20"/>
          <w:szCs w:val="20"/>
          <w:lang w:eastAsia="uk-ua"/>
        </w:rPr>
        <w:t>.</w:t>
      </w:r>
      <w:r>
        <w:rPr>
          <w:rFonts w:ascii="Times New Roman" w:hAnsi="Times New Roman" w:eastAsia="Times New Roman"/>
          <w:sz w:val="20"/>
          <w:szCs w:val="20"/>
          <w:lang w:val="en-us" w:eastAsia="uk-ua"/>
        </w:rPr>
        <w:t>ua</w:t>
      </w:r>
      <w:r>
        <w:rPr>
          <w:rFonts w:ascii="Times New Roman" w:hAnsi="Times New Roman" w:eastAsia="Times New Roman"/>
          <w:sz w:val="20"/>
          <w:szCs w:val="20"/>
          <w:lang w:eastAsia="uk-ua"/>
        </w:rPr>
        <w:t>/</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Організаційна структура ПРАТ "Макіївський завод "Факел" ЄДРПОУ 05781213</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Структура управління - дворівнева (станом на 31.12.2023 р.)</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ЗАГАЛЬНІ ЗБОРИ АКЦІОНЕРІВ (94 акціонери)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НАГЛЯДОВА РАДА: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Голова Наглядової ради: Ошурков Едуард Геннадійович</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Члени наглядової ради: Іванов Олексій Миколайович та Панченко Сергій Олександрович</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ПРАВЛІННЯ: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Голова правління: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Горда Максим Сергійович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Члени правління: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Демідова Юлія Олександрівна</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60" w:line="240" w:lineRule="auto"/>
        <w:jc w:val="center"/>
        <w:outlineLvl w:val="0"/>
        <w:rPr>
          <w:rFonts w:ascii="Times New Roman" w:hAnsi="Times New Roman" w:eastAsia="Times New Roman"/>
          <w:b/>
          <w:bCs/>
          <w:kern w:val="0"/>
          <w:sz w:val="26"/>
          <w:szCs w:val="26"/>
          <w:lang w:val="uk-ua" w:eastAsia="uk-ua"/>
        </w:rPr>
      </w:pPr>
      <w:r/>
      <w:bookmarkStart w:id="5" w:name="_Toc210042930"/>
      <w:r/>
      <w:r>
        <w:rPr>
          <w:rFonts w:ascii="Times New Roman" w:hAnsi="Times New Roman" w:eastAsia="Times New Roman"/>
          <w:b/>
          <w:bCs/>
          <w:kern w:val="0"/>
          <w:sz w:val="26"/>
          <w:szCs w:val="26"/>
          <w:lang w:eastAsia="uk-ua"/>
        </w:rPr>
        <w:t xml:space="preserve">3. </w:t>
      </w:r>
      <w:r>
        <w:rPr>
          <w:rFonts w:ascii="Times New Roman" w:hAnsi="Times New Roman" w:eastAsia="Times New Roman"/>
          <w:b/>
          <w:bCs/>
          <w:kern w:val="0"/>
          <w:sz w:val="26"/>
          <w:szCs w:val="26"/>
          <w:lang w:val="uk-ua" w:eastAsia="uk-ua"/>
        </w:rPr>
        <w:t>Структура власності</w:t>
      </w:r>
      <w:r/>
      <w:bookmarkEnd w:id="5"/>
      <w:r/>
      <w:r>
        <w:rPr>
          <w:rFonts w:ascii="Times New Roman" w:hAnsi="Times New Roman" w:eastAsia="Times New Roman"/>
          <w:b/>
          <w:bCs/>
          <w:kern w:val="0"/>
          <w:sz w:val="26"/>
          <w:szCs w:val="26"/>
          <w:lang w:val="uk-ua"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val="uk-ua" w:eastAsia="uk-ua"/>
        </w:rPr>
        <w:t>URL-адреса вебсайту особи, за якою розміщена структура власності особи у схематичному зображенні</w:t>
      </w:r>
      <w:r>
        <w:rPr>
          <w:rFonts w:ascii="Times New Roman" w:hAnsi="Times New Roman" w:eastAsia="Times New Roman"/>
          <w:sz w:val="20"/>
          <w:szCs w:val="20"/>
          <w:lang w:eastAsia="uk-ua"/>
        </w:rPr>
        <w:t xml:space="preserve"> :</w:t>
      </w:r>
    </w:p>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https</w:t>
      </w:r>
      <w:r>
        <w:rPr>
          <w:rFonts w:ascii="Times New Roman" w:hAnsi="Times New Roman" w:eastAsia="Times New Roman"/>
          <w:sz w:val="20"/>
          <w:szCs w:val="20"/>
          <w:lang w:eastAsia="uk-ua"/>
        </w:rPr>
        <w:t>://</w:t>
      </w:r>
      <w:r>
        <w:rPr>
          <w:rFonts w:ascii="Times New Roman" w:hAnsi="Times New Roman" w:eastAsia="Times New Roman"/>
          <w:sz w:val="20"/>
          <w:szCs w:val="20"/>
          <w:lang w:val="en-us" w:eastAsia="uk-ua"/>
        </w:rPr>
        <w:t>fakel</w:t>
      </w:r>
      <w:r>
        <w:rPr>
          <w:rFonts w:ascii="Times New Roman" w:hAnsi="Times New Roman" w:eastAsia="Times New Roman"/>
          <w:sz w:val="20"/>
          <w:szCs w:val="20"/>
          <w:lang w:eastAsia="uk-ua"/>
        </w:rPr>
        <w:t>.</w:t>
      </w:r>
      <w:r>
        <w:rPr>
          <w:rFonts w:ascii="Times New Roman" w:hAnsi="Times New Roman" w:eastAsia="Times New Roman"/>
          <w:sz w:val="20"/>
          <w:szCs w:val="20"/>
          <w:lang w:val="en-us" w:eastAsia="uk-ua"/>
        </w:rPr>
        <w:t>pat</w:t>
      </w:r>
      <w:r>
        <w:rPr>
          <w:rFonts w:ascii="Times New Roman" w:hAnsi="Times New Roman" w:eastAsia="Times New Roman"/>
          <w:sz w:val="20"/>
          <w:szCs w:val="20"/>
          <w:lang w:eastAsia="uk-ua"/>
        </w:rPr>
        <w:t>.</w:t>
      </w:r>
      <w:r>
        <w:rPr>
          <w:rFonts w:ascii="Times New Roman" w:hAnsi="Times New Roman" w:eastAsia="Times New Roman"/>
          <w:sz w:val="20"/>
          <w:szCs w:val="20"/>
          <w:lang w:val="en-us" w:eastAsia="uk-ua"/>
        </w:rPr>
        <w:t>ua</w:t>
      </w:r>
      <w:r>
        <w:rPr>
          <w:rFonts w:ascii="Times New Roman" w:hAnsi="Times New Roman" w:eastAsia="Times New Roman"/>
          <w:sz w:val="20"/>
          <w:szCs w:val="20"/>
          <w:lang w:eastAsia="uk-ua"/>
        </w:rPr>
        <w:t>/</w:t>
      </w:r>
      <w:r>
        <w:rPr>
          <w:rFonts w:ascii="Times New Roman" w:hAnsi="Times New Roman" w:eastAsia="Times New Roman"/>
          <w:sz w:val="20"/>
          <w:szCs w:val="20"/>
          <w:lang w:eastAsia="uk-ua"/>
        </w:rPr>
      </w:r>
    </w:p>
    <w:p>
      <w:pPr>
        <w:spacing w:after="60" w:line="240" w:lineRule="auto"/>
        <w:jc w:val="center"/>
        <w:outlineLvl w:val="0"/>
        <w:rPr>
          <w:rFonts w:ascii="Times New Roman" w:hAnsi="Times New Roman" w:eastAsia="Times New Roman"/>
          <w:b/>
          <w:bCs/>
          <w:kern w:val="0"/>
          <w:sz w:val="26"/>
          <w:szCs w:val="26"/>
          <w:lang w:val="uk-ua" w:eastAsia="uk-ua"/>
        </w:rPr>
      </w:pPr>
      <w:r/>
      <w:bookmarkStart w:id="6" w:name="_Toc210042931"/>
      <w:r/>
      <w:r>
        <w:rPr>
          <w:rFonts w:ascii="Times New Roman" w:hAnsi="Times New Roman" w:eastAsia="Times New Roman"/>
          <w:b/>
          <w:bCs/>
          <w:kern w:val="0"/>
          <w:sz w:val="26"/>
          <w:szCs w:val="26"/>
          <w:lang w:eastAsia="uk-ua"/>
        </w:rPr>
        <w:t xml:space="preserve">4. </w:t>
      </w:r>
      <w:r>
        <w:rPr>
          <w:rFonts w:ascii="Times New Roman" w:hAnsi="Times New Roman" w:eastAsia="Times New Roman"/>
          <w:b/>
          <w:bCs/>
          <w:kern w:val="0"/>
          <w:sz w:val="26"/>
          <w:szCs w:val="26"/>
          <w:lang w:val="uk-ua" w:eastAsia="uk-ua"/>
        </w:rPr>
        <w:t>Опис господарської та фінансової діяльності</w:t>
      </w:r>
      <w:r/>
      <w:bookmarkEnd w:id="6"/>
      <w:r/>
      <w:r>
        <w:rPr>
          <w:rFonts w:ascii="Times New Roman" w:hAnsi="Times New Roman" w:eastAsia="Times New Roman"/>
          <w:b/>
          <w:bCs/>
          <w:kern w:val="0"/>
          <w:sz w:val="26"/>
          <w:szCs w:val="26"/>
          <w:lang w:val="uk-ua" w:eastAsia="uk-ua"/>
        </w:rPr>
      </w:r>
    </w:p>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Товариство не належить до будь-яких об'єднань підприємств.</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Товариство не проводить спільну діяльність з іншими організаціями, підприємствами, установами.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Організація бухгалтерського обліку ПРАТ "МАКІЇВСЬКИЙ ЗАВОД "ФАКЕЛ" відповідає основним вимогам Закону України "Про бухгалтерський облік та фінансову звітність в Україні" від 16.07.1999 №996-</w:t>
      </w:r>
      <w:r>
        <w:rPr>
          <w:rFonts w:ascii="Times New Roman" w:hAnsi="Times New Roman" w:eastAsia="Times New Roman"/>
          <w:sz w:val="20"/>
          <w:szCs w:val="20"/>
          <w:lang w:val="en-us" w:eastAsia="uk-ua"/>
        </w:rPr>
        <w:t>XIV</w:t>
      </w:r>
      <w:r>
        <w:rPr>
          <w:rFonts w:ascii="Times New Roman" w:hAnsi="Times New Roman" w:eastAsia="Times New Roman"/>
          <w:sz w:val="20"/>
          <w:szCs w:val="20"/>
          <w:lang w:eastAsia="uk-ua"/>
        </w:rPr>
        <w:t>.</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Відповідно до Наказу про облікову політику на підприємстві №1 від 03.01.2018р. ведення бухгалтерського обліку базується на на таких основних засадах:</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1.Бухгалтерський облік на підприємстві проводити із застосуванням комп'ютерної бухгалтерської програми 1С Бухгалтерія.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Відповідальність за рівень відповідності реєстрів обліку, порядку й способу реєстрації й узагальнення інформації, передбачених цією комп'ютерною програмою, вимогам законодавства, покладається на головного бухгалтера підприємства.</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2.Затвердити перелік первинних документів, які застосовуються підприємством у практичній діяльності й офіційно затверджені відповідними державними органами у додатку до цього наказу.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3.Затвердити форми первинних облікових документів (зведених первинних документів), які застосовуються підприємством у практичній діяльності, але не затверджені відповідними органами у додатку до цього наказу.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4.До бланків суворої звітності відносити: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Навести перелік бланків суворої звітності, які використовую підприємство відповідно до постанови КМУ №283 від 19.04.1993р.</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4.1.Затвердити перелік посадових осіб, які використовують бланки суворої звітності у своїй роботі.</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4.2.Затвердити право підпису довіреностей на отримання товарно-матеріальних цінностей, укладання угод директору підприємства Горда М.С.</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5.Згідно з пунктом 1.3 Положення про документальне забезпечення записів у бухгалтерському обліку, яке затверджене наказом Міністерства фінансів України 24.05.95р. за №88, всі первинні документи, облікові реєстри, фінансова, статистична та інша звітність складаються українською мовою. Документи, що є підставою для записів у бухгалтерському обліку і складені іноземною мовою, повинні мати узгоджений автентичний переклад українською мовою, відповідно до вимог статті 11 Закону України "Про мови в Українській РСР".</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6.Установити місце зберігання (архів підприємства) первинних документів та реєстрів бухгалтерського обліку, виготовлених як на паперових, так і на магнітних носіях інформації (дискети, компакт-диски). Строки зберігання встановлюються відповідно до законодавства.</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7.Затвердити розроблений на підставі Плану рахунків бухгалтерського обліку активів, капіталу, зобов'язань і господарських операцій підприємств і організацій (див.наказ МФ України №291 від 21.12.99р.) робочий план рахунків із використанням рахунків першого, другого та третього порядку. Підприємство застосовує 8 і 9 клас Плану рахунків бухгалтерського обліку.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8.З метою забезпечення достовірності даних бухгалтерського обліку й звітності проводити інвентаризацію активів і зобов'язань, відповідно до статті 10 Закону про бух облік та інших нормативних документів: точний час і порядок її проведення, відповідальні особи визначаються керівником підприємства окремим письмовим розпорядженням (наказом) керівника.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Принципи і методи відображення в бухгалтерському обліку окремих активів і господарських операцій</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1. Основні засоби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Відповідно до Положення (стандарту) бухгалтерського обліку 7 "Основні засоби" підприємством обрано метод (методи) нарахування амортизації основних засобів - зменшення залишкової вартості.</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Вартісна ознака предметів, що відносяться до малоцінних необоротних матеріальних активів прийнята в розмірі до 2500 грн.</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Амортизацію за МНМА нараховувати у першому місяці використання об'єкта в розмірі 100 відсотків його вартості.</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Первісна (переоцінена) вартість основних засобів збільшується на суму витрат, пов'язаних з поліпшенням та ремонтом об'єкта, визначену у порядку, встановленому податковим законодавством.</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2. Нематеріальні активи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Відповідно до Положення (стандарту) бухгалтерського обліку 8 "Нематеріальні активи" підприємством обрано прямолінійний метод нарахування амортизації нематеріальних активів. При цьому ліквідаційну вартість прирівнюємо до нуля.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3. Запаси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Первинна вартість запасів визначається відповідно до Положення (стандарту) бухгалтерського обліку 9 "Запаси".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При відпуску запасів у виробництво, з виробництва, продаж та іншому вибутті, оцінка їх здійснюється за одним з таких методів:</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собівартості перших за часом надходження запасів (ФІФО) або</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нормативних затрат або</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ціни продажу.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Організувати аналітичний облік руху товарно-матеріальних цінностей таким чином за підрозділами: в бухгалтерії - у кількісно-сумовому вимірі, на складах - у кількісному вираженні.</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Вартість малоцінних та швидкозношуваних предметів, що передані в експлуатацію, списується з балансу з подальшою організацією оперативного кількісного обліку таких предметів за місцями експлуатації та відповідними особами протягом строку їх фактичного використання.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4. Дебіторська заборгованість</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Відповідно до Положення (стандарту) бухгалтерського обліку 10 "Дебіторська заборгованість" поточна дебіторська заборгованість за продукцію, товари послуги включається до підсумку балансу за чистою реалізаційною вартістю. Для визначення чистої реалізаційної вартості на дату балансу обчислюється величина сумнівних боргів.</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5. Зобов'язання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Відповідно до Положення (стандарту) бухгалтерського обліку 11 "Зобов'язання" зобов'язання визнається, якщо його оцінка може бути достовірно визначена та існує ймовірність зменшення економічних вигоди у майбутньому внаслідок його погашення. Поточні зобов'язання відображаються за сумою погашення.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6. Дохід</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Дохід визнається і оцінюється відповідно до вимог Положення (стандарту) бухгалтерського обліку 15 "Дохід".</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До складу доходів майбутніх періодів включаються суми доходів, нарахованих протягом поточного періоду, які будуть визначені в наступних звітних періодах.</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7. Витрати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Відповідно до Положення (стандарту) бухгалтерського обліку 16 "Витрати" витрати відображаються в балансі одночасно із зменшенням активів або збільшенням зобов'язань, а у Звіті про фінансові результати - одночасно з доходами, для отримання яких вони понесені.</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До виробничої собівартості продукції включати: прямі витрати, загальновиробничі витрати.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До собівартості реалізованої продукції включаються: виробнича собівартість продукції, яка була реалізована у звітному періоді; нерозподілені постійні загальновиробничі витрати; наднормативні виробничі витрати.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Витрати, пов'язані з операційною діяльністю, які не включаються до собівартості реалізованої продукції (адміністративні витрати, витрати на збут та ін.), кваліфікуються відповідно до Положення (стандарту) бухгалтерського обліку 16 "Витрати". Вказані витрати вважаються витратами періоду і відображаються у Звіті про фінансові результати.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До складу витрат майбутніх періодів включаються витрати, які здійснені у звітному періоді, але не підлягають віднесенню до витрат в майбутніх звітних періодах.</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Фінансова діяльність товариства ґрунтується на чинному законодавстві України. Форма господарювання - господарський розрахунок. Позикові кошти банків для поповнення обігових коштів не залучаються. Товариство фінансує свою діяльність за рахунок власних обігових коштів.</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Товариство не здійснює політику в області досліджень та розробок</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ПРАТ "Макіївський завод "Факел" виготовляє порошкові вогнегасники ВП-8  та ВВШ-9. Ці вогнегасники мають високу ефективність при використання на пожежах. Їх позитивною особливістю, що відрізняє від інших моделей, є можливість гасити пожежі на промислових об'єктах та обладнання з високою напругою до 1140В. Вироби є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скробезпечн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можуть використовуватись на вугледобувних підприємствах (шахтах) та у інших галузях промисловості. Конструкції вогнегасників запатентовані та сертифіковані в системі УкрСЕПРО. Порівняно з 2022 роком  виробництво вогнегасника ВП-8 у звітному році збільшилось та склало 3666 шт.  Вогнегасників ВВШ-9 </w:t>
      </w:r>
      <w:r>
        <w:rPr>
          <w:rFonts w:ascii="Times New Roman" w:hAnsi="Times New Roman" w:eastAsia="Times New Roman"/>
          <w:sz w:val="20"/>
          <w:szCs w:val="20"/>
          <w:lang w:eastAsia="uk-ua"/>
        </w:rPr>
        <w:t>вироблено та реалізовано також трохи більше ніж у попередньому році, а саме  - 1683 шт. У зв'язку з повномасштабним вторгненням російських окупаційних військ, на територію України, та тимчасовою окупацією міст Луганської та Донецької областей, деякі вугільні підприємства нажаль втратили своє існування. Таким чином обсяги споживання продукції ПрАТ "Макіївський завод "Факел", істотно зменшилось.</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Заходи емітента щодо зменшення ризиків: контроль за платіжною дисципліною контрагентів, залучення кредитних ресурсів, тощо.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Виробництво не залежить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сезонних 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Для останнього часу характерно постійне зростання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 на сировину.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Основні ринки збуту продукції знаходяться на Україні.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Серед основних клієнтів є вугільні підприємства, зокрема, ДП "Селидіввугілля", ДП "Львіввугілля", ПрАТ "ШУ "Покровське", ТОВ "Шахта "Білозерська", ПрАТ "ДТЕК Павлоградвугілля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Ступінь конкурентного впливу - середній. На заводі "Факел" впроваджені такі прогресивні технології, як надійна зварка в середовища захисного газу, агрегатні станки, нові сучасні фарби та інші. Це дає можливість постійно оновлювати випуск продукції.</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Продукцію ПРАТ "Макіївський завод "Факел",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д інших виробників відрізняє висока надійність конструкції, що забезпечено високим рівнем розробок базового інституту, прогресивною технологією, багатим досвідом виробництва. Перспективність основних видів продукції: попит на шахтні вогнегасники ВП-8 та ВВШ-9 постійно матиме місце, оскільки термін служби виробів - 10 років на поверхні та 5 років у шахтах. Згідно з технічними умовами, кожні 2 роки необхідно здійснювати перезарядження, технічне обслуговування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кожний рік здійснювати переосв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доцтво вогнегасників на підприємстві, яке може здійснити дотримання технологічного процесу та гарантувати якість цих послуг. Відповідно, Товариство планує поступово збільшувати обсяги виробництва основних видів продукції.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Канали збуту й методи продажу,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використовує емітент: Основним каналом збуту, що використовує ПРАТ "Макіївський завод "Факел", є продаж продукції безпосередньо кінцевому споживачеві. До методів продажу продукції ПРАТ можна віднести: - дослідження кон'юнктури , що склалася на ринку; - визначення попиту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наявності пропозицій на конкретні види продукції; - здійснення операцій з виробництва, зберігання продукції, установлення на продукцію конкурентоздатної ціни.</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ПРАТ "МАКІЇВСЬКИЙ ЗАВОД "ФАКЕЛ" досконало вивчаються матеріали щодо активного випуску нових моделей вогнегасників, тобто розширення модельного ряду продукції, що випускається серійно, а саме виробництво вогнегасників водопінних меншого об'єму,  можливості запуску окремого Пункту Технічного Обслуговування Вогнегасників (ПТОВ) для подальшого самостійного проведення робіт з технічного обслуговування вогнегасників для підприємств вугільної галузі України.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Так, на 2023 рік Товариство має низку підписаних та пролонгованих Договорів з ключовими контрагентами: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w:t>
        <w:tab/>
        <w:t>ПрАТ "ШУ "Покровське" - Договір № 2626П від 22.12.2018 року та підписано Специфікацію на 2023  рік на загальну суму понад 3 млн. грн.</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ТОВ "ДТЕК-Павлоградвугілля" підписана Додаткова угода до Договору № 7443-ДУ-УМТС-Т від 28-12-2017 року.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ТДВ "Шахта "Білозерська" підписана Додаткова угода до Договору № 7450-ШБЗ-УМТС-Т від 28-10-2019 року.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Основні придбання та відчуження активів протягом останніх п'яти років:</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Протягом 2019 року надходження та списання основних засоб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не відбувалось.</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Протягом 2020 року надходження та списання основних засоб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не відбувалось.</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Протягом 2021 року надходження та списання основних засоб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не відбувалось</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Протягом 2022 року надходження основних засоб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не відбувалось.</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Протягом 2023 року надходження основних засоб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не відбувалось.</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Основн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засоби розташовані за адресою: м. Київ, вул.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ринецька, буд.63. Основн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засоби використовуються належним чином. Ремонт основних засоб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робиться своєчасно. 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дриємство не має на баланс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основних засоб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отриманих за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нансовою орендою.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Терм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 використання основних засоб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становить: - буд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та споруди - 35 рок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 машини та обладнання - 15 рок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 транспортн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засоби - 15 рок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основн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засоби - 5 рок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На результат діяльності Товариства взагалі впливає нестабільне економічне становище в країні. Однак, одним з найбільш вагомих негативних факторів, що значно впливає на діяльність підприємства, є проведення на території місцезнаходження основних потужностей Товариства за адресою: м. Макіївка, Донецька область, вулиця Паркова, будинок 7, антитерористичної операції, операції об'єднаних сил та втрата контролю над вказаними потужностями з 2014 року у зв'язку з захватом їх невідомими військовими формуваннями, що в свою чергу спричинило значну шкоду Товариству та негативно вплинуло на фінансовий стан Товариства в цілому. Окрім того значний вплив на Товариство в 2023 році  мали  обмеження воєнного стану, постійні ракетні та шахедні обстріли території України, пошкодження енергетичних об'єктів та відсутність (або обмеження) електроенергії, що загалом негативно вплинули не тільки на економічні показники Товариства, а й на економіку країни вцілому.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Станом на 01.12.2023р. Товариством підписано декілька договорів зі споживачами на постачання своєї продукції на 2023 рік, а саме: подовжено строк дії Договору з ПрАТ "ШУ "Покровське" - Договір № 2626П від 22.12.2018 року, та підписано Специфікацію на  загальну суму понад 3 млн. грн., з ТОВ "ДТЕК-Павлоградвугілля" підписана Додаткова угода до Договору № 7442-ПУ-УМТС-Т від 28-12-2017 року, також з ТДВ "Шахта "Білозерська" підписана Додаткова угода до Договору № 7450-ШБЗ-УМТС-Т від 28-12-2018 року  загальною сумою понад 2 млн. грн., ДП "Добропіллявугілля" № 702-22ШУД від 16.09.2022 року. На підпрємстві штатних працівників облікового складу складає 2 особи. Позаштатних працівників та осіб, які працюють за сумісництвом - немає. Працівників, які працюють на умовах неповного робочого часу (дня, тижня) - немає. Соціальний пакет на підприємстві відсутній.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Розмір фонду оплати праці становить 262,2 тис.грн., його збільшення відносно попереднього року сталося завдяки збільшенню мінімального розміру заробітної плати протягом року. Кадрова програма емітента щодо забезпечення рівня кваліфікації працівників операційним потребам Товариства спрямована на прийняття на роботу на сам перед підготовлених працівників.</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2020 р.          2021р.    2022р.   2023р.</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Дох</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(виручка)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реал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зац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продукц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ї,тис. грн.                                   8006,4         6631,4     6774,5    13383.7</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Чистий прибуток (збиток), тис. грн.                                                            50,0          127,5         45,0     164.1</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У  2023 роц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Товариство отримало прибуток 164,1 тис.грн. В пор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внянн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 2022 роком дох</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(виручка)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реал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зац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продукц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збільшилась на 6609,2 тис. грн. Пропозіції щодо реорганізації Товариства з боку третіх осіб не надходили</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Інформація про основні засоби емітента ( за залишковою вартістю ) Найменування основних засобів</w:t>
        <w:tab/>
        <w:t>Власні основні засоби (тис.грн.)</w:t>
        <w:tab/>
        <w:t>Орендовані основні засоби (тис.грн.)</w:t>
        <w:tab/>
        <w:t>Основні засоби , всього (тис.грн.)</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ab/>
        <w:t xml:space="preserve">                                          На початок періоду</w:t>
        <w:tab/>
        <w:t xml:space="preserve">                  На кінець періоду</w:t>
        <w:tab/>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1.Виробничого призначення</w:t>
        <w:tab/>
        <w:t>0.900</w:t>
        <w:tab/>
        <w:t>0.500    0.000</w:t>
        <w:tab/>
        <w:t>0.000</w:t>
        <w:tab/>
        <w:t>0.900</w:t>
      </w:r>
      <w:r>
        <w:rPr>
          <w:rFonts w:ascii="Times New Roman" w:hAnsi="Times New Roman" w:eastAsia="Times New Roman"/>
          <w:sz w:val="20"/>
          <w:szCs w:val="20"/>
          <w:lang w:eastAsia="uk-ua"/>
        </w:rPr>
        <w:tab/>
        <w:t xml:space="preserve">0.500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будівлі та споруди             </w:t>
        <w:tab/>
        <w:t>0.000</w:t>
        <w:tab/>
        <w:t>0.000</w:t>
        <w:tab/>
        <w:t>0.000</w:t>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машини та обладнання      </w:t>
        <w:tab/>
        <w:t>0.000</w:t>
        <w:tab/>
        <w:t>0.000</w:t>
        <w:tab/>
        <w:t>0.000</w:t>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транспортні засоби</w:t>
        <w:tab/>
        <w:t xml:space="preserve">            0.000</w:t>
        <w:tab/>
        <w:t>0.000</w:t>
        <w:tab/>
        <w:t>0.000</w:t>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земельні ділянки</w:t>
        <w:tab/>
        <w:t xml:space="preserve">                  0.000</w:t>
        <w:tab/>
        <w:t>0.000</w:t>
        <w:tab/>
        <w:t>0.000</w:t>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інші</w:t>
        <w:tab/>
        <w:t xml:space="preserve">                                    0.900</w:t>
        <w:tab/>
        <w:t xml:space="preserve">0.500 </w:t>
        <w:tab/>
        <w:t>0.000</w:t>
        <w:tab/>
        <w:t>0.000</w:t>
      </w:r>
      <w:r>
        <w:rPr>
          <w:rFonts w:ascii="Times New Roman" w:hAnsi="Times New Roman" w:eastAsia="Times New Roman"/>
          <w:sz w:val="20"/>
          <w:szCs w:val="20"/>
          <w:lang w:eastAsia="uk-ua"/>
        </w:rPr>
        <w:tab/>
        <w:t>0.900</w:t>
      </w:r>
      <w:r>
        <w:rPr>
          <w:rFonts w:ascii="Times New Roman" w:hAnsi="Times New Roman" w:eastAsia="Times New Roman"/>
          <w:sz w:val="20"/>
          <w:szCs w:val="20"/>
          <w:lang w:eastAsia="uk-ua"/>
        </w:rPr>
        <w:tab/>
        <w:t xml:space="preserve">0.500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2. Невиробничого призначення</w:t>
        <w:tab/>
        <w:t>0.000</w:t>
        <w:tab/>
        <w:t>0.000</w:t>
        <w:tab/>
        <w:t>0.000</w:t>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будівлі та споруди</w:t>
        <w:tab/>
        <w:t xml:space="preserve">            0.000</w:t>
        <w:tab/>
        <w:t>0.000</w:t>
        <w:tab/>
        <w:t>0.000</w:t>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машини та обладнання       </w:t>
        <w:tab/>
        <w:t>0.000</w:t>
        <w:tab/>
        <w:t>0.000</w:t>
        <w:tab/>
        <w:t>0.000</w:t>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транспортні засоби</w:t>
        <w:tab/>
        <w:t xml:space="preserve">            0.000</w:t>
        <w:tab/>
        <w:t>0.000</w:t>
        <w:tab/>
        <w:t>0.000</w:t>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земельні ділянки</w:t>
        <w:tab/>
        <w:t xml:space="preserve">                  0.000</w:t>
        <w:tab/>
        <w:t>0.000</w:t>
        <w:tab/>
        <w:t>0.000</w:t>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інвестиційна нерухомість    </w:t>
        <w:tab/>
        <w:t>0.000</w:t>
        <w:tab/>
        <w:t>0.000</w:t>
        <w:tab/>
        <w:t>0.000</w:t>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інші</w:t>
        <w:tab/>
        <w:t xml:space="preserve">                                    0.000</w:t>
        <w:tab/>
        <w:t>0.000</w:t>
        <w:tab/>
        <w:t>0.000</w:t>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tab/>
        <w:t>0.000</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Усього</w:t>
        <w:tab/>
        <w:t xml:space="preserve">                                    0.900</w:t>
        <w:tab/>
        <w:t xml:space="preserve">0.500 </w:t>
        <w:tab/>
        <w:t>0.000</w:t>
        <w:tab/>
        <w:t>0.000</w:t>
      </w:r>
      <w:r>
        <w:rPr>
          <w:rFonts w:ascii="Times New Roman" w:hAnsi="Times New Roman" w:eastAsia="Times New Roman"/>
          <w:sz w:val="20"/>
          <w:szCs w:val="20"/>
          <w:lang w:eastAsia="uk-ua"/>
        </w:rPr>
        <w:tab/>
        <w:t>0.900</w:t>
      </w:r>
      <w:r>
        <w:rPr>
          <w:rFonts w:ascii="Times New Roman" w:hAnsi="Times New Roman" w:eastAsia="Times New Roman"/>
          <w:sz w:val="20"/>
          <w:szCs w:val="20"/>
          <w:lang w:eastAsia="uk-ua"/>
        </w:rPr>
        <w:tab/>
        <w:t xml:space="preserve">0.500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Пояснення :  Пояснення:  Одиницею обліку основних засобів є об'єкт основних засобів. Придбані (створені) основні засоби зараховуються на баланс товариства за первісною вартістю. Основні засоби відображені в обліку за фактичними витратами на їх придбання, доставку, установку, спорудження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виготовлення.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При нарахуванні амортизації за основними засобами, іншими необоротними матеріальними активами та нематеріальними активами застосовується відповідно до облікової політики прямолінійний метод.</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Основні засоби розташовані за адресою: м. Київ, вул.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ринецька, буд.63.  Основні засоби використовуються належним чином. Ремонт основних засобів робиться своєчасно. Підприємство не має на балансі основних засобів, отриманих за фінансовою орендою.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Термін використання основних засобів становить: - будівлі та споруди - 35 років, - машини та обладнання - 15 років, - транспортні засоби - 15 років, - інші основні засоби - 5 років.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Протягом звітного року нараховано амортизацію у сум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0,4  тис.грн., а саме: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нші основні засоби. Ліквідаційна вартість необоротних матеріальних активів для цілей амортизації - "0" грн.</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Ступінь використання основних засобів (за основними групами) становить: інші - 100%. Ступень зносу основних засобів на 31.12.22р. по групам основних засобів становить: будівлі та споруди - 100%,</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- 95%.</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На кінець року первісна вартість основних засобів становить 20,2 тис. грн., знос 19,7 тис. грн. Відповідно, залишкова вартість основних засобів на кінець 2023 року становила 0,5 тис. грн.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Протягом 2023 року надходження основних засобів не відбувалось.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vanish w:val="1"/>
          <w:sz w:val="24"/>
          <w:szCs w:val="24"/>
          <w:lang w:val="uk-ua" w:eastAsia="uk-ua"/>
        </w:rPr>
      </w:pPr>
      <w:r>
        <w:rPr>
          <w:rFonts w:ascii="Times New Roman" w:hAnsi="Times New Roman" w:eastAsia="Times New Roman"/>
          <w:vanish w:val="1"/>
          <w:sz w:val="24"/>
          <w:szCs w:val="24"/>
          <w:lang w:val="uk-ua" w:eastAsia="uk-ua"/>
        </w:rPr>
      </w:r>
    </w:p>
    <w:p>
      <w:pPr>
        <w:spacing w:after="0" w:line="240" w:lineRule="auto"/>
        <w:jc w:val="center"/>
        <w:rPr>
          <w:rFonts w:ascii="Times New Roman" w:hAnsi="Times New Roman" w:eastAsia="Times New Roman"/>
          <w:vanish w:val="1"/>
          <w:sz w:val="24"/>
          <w:szCs w:val="24"/>
          <w:lang w:val="uk-ua" w:eastAsia="uk-ua"/>
        </w:rPr>
      </w:pPr>
      <w:r>
        <w:rPr>
          <w:rFonts w:ascii="Times New Roman" w:hAnsi="Times New Roman" w:eastAsia="Times New Roman"/>
          <w:b/>
          <w:bCs/>
          <w:color w:val="000000"/>
          <w:sz w:val="24"/>
          <w:szCs w:val="24"/>
          <w:lang w:val="uk-ua" w:eastAsia="uk-ua"/>
        </w:rPr>
        <w:t>Інформація про основні засоби емітента ( за залишковою вартістю )</w:t>
      </w:r>
      <w:r>
        <w:rPr>
          <w:rFonts w:ascii="Times New Roman" w:hAnsi="Times New Roman" w:eastAsia="Times New Roman"/>
          <w:vanish w:val="1"/>
          <w:sz w:val="24"/>
          <w:szCs w:val="24"/>
          <w:lang w:val="uk-ua" w:eastAsia="uk-ua"/>
        </w:rPr>
      </w:r>
    </w:p>
    <w:p>
      <w:pPr>
        <w:spacing w:after="0" w:line="240" w:lineRule="auto"/>
        <w:rPr>
          <w:rFonts w:ascii="Times New Roman" w:hAnsi="Times New Roman" w:eastAsia="Times New Roman"/>
          <w:vanish w:val="1"/>
          <w:sz w:val="24"/>
          <w:szCs w:val="24"/>
          <w:lang w:val="uk-ua" w:eastAsia="uk-ua"/>
        </w:rPr>
      </w:pPr>
      <w:r>
        <w:rPr>
          <w:rFonts w:ascii="Times New Roman" w:hAnsi="Times New Roman" w:eastAsia="Times New Roman"/>
          <w:vanish w:val="1"/>
          <w:sz w:val="24"/>
          <w:szCs w:val="24"/>
          <w:lang w:val="uk-ua" w:eastAsia="uk-ua"/>
        </w:rPr>
      </w:r>
    </w:p>
    <w:tbl>
      <w:tblPr>
        <w:tblStyle w:val="NormalTable"/>
        <w:name w:val="Таблица11"/>
        <w:tabOrder w:val="0"/>
        <w:jc w:val="left"/>
        <w:tblInd w:w="0" w:type="dxa"/>
        <w:tblW w:w="9922" w:type="dxa"/>
        <w:tblLook w:val="01E0" w:firstRow="1" w:lastRow="1" w:firstColumn="1" w:lastColumn="1" w:noHBand="0" w:noVBand="0"/>
      </w:tblPr>
      <w:tblGrid>
        <w:gridCol w:w="3047"/>
        <w:gridCol w:w="1146"/>
        <w:gridCol w:w="1146"/>
        <w:gridCol w:w="1145"/>
        <w:gridCol w:w="1146"/>
        <w:gridCol w:w="1146"/>
        <w:gridCol w:w="1146"/>
      </w:tblGrid>
      <w:tr>
        <w:trPr>
          <w:cantSplit w:val="0"/>
          <w:trHeight w:val="461" w:hRule="atLeast"/>
        </w:trPr>
        <w:tc>
          <w:tcPr>
            <w:tcW w:w="3047" w:type="dxa"/>
            <w:vMerge w:val="restart"/>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Найменування основних засобів</w:t>
            </w:r>
          </w:p>
        </w:tc>
        <w:tc>
          <w:tcPr>
            <w:tcW w:w="2292" w:type="dxa"/>
            <w:gridSpan w:val="2"/>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Власні основні засоби (тис.грн.)</w:t>
            </w:r>
          </w:p>
        </w:tc>
        <w:tc>
          <w:tcPr>
            <w:tcW w:w="2291" w:type="dxa"/>
            <w:gridSpan w:val="2"/>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Орендовані основні засоби (тис.грн.)</w:t>
            </w:r>
          </w:p>
        </w:tc>
        <w:tc>
          <w:tcPr>
            <w:tcW w:w="2292" w:type="dxa"/>
            <w:gridSpan w:val="2"/>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Основні засоби , всього (тис.грн.)</w:t>
            </w:r>
          </w:p>
        </w:tc>
      </w:tr>
      <w:tr>
        <w:trPr>
          <w:cantSplit w:val="0"/>
          <w:trHeight w:val="147" w:hRule="atLeast"/>
        </w:trPr>
        <w:tc>
          <w:tcPr>
            <w:tcW w:w="3047"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На початок періоду</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На кінець періоду</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На початок періоду</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На кінець періоду</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На початок періоду</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На кінець періоду</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1.Виробничого призначення</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0.900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0.500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0.900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0.500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 будівлі та споруди</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0.000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 машини та обладнання</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0.000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 транспортні засоби</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0.000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 земельні ділянки</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0.000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 інші</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0.900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0.500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0.900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0.500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2. Невиробничого призначення</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0.000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 будівлі та споруди</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0.000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 машини та обладнання</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0.000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 транспортні засоби</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0.000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 земельні ділянки</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en-us" w:eastAsia="uk-ua"/>
              </w:rPr>
              <w:t>0.000</w:t>
            </w:r>
            <w:r>
              <w:rPr>
                <w:rFonts w:ascii="Times New Roman" w:hAnsi="Times New Roman" w:eastAsia="Times New Roman"/>
                <w:sz w:val="20"/>
                <w:szCs w:val="20"/>
                <w:lang w:val="uk-ua" w:eastAsia="uk-ua"/>
              </w:rPr>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en-us" w:eastAsia="uk-ua"/>
              </w:rPr>
              <w:t>0.000</w:t>
            </w:r>
            <w:r>
              <w:rPr>
                <w:rFonts w:ascii="Times New Roman" w:hAnsi="Times New Roman" w:eastAsia="Times New Roman"/>
                <w:sz w:val="20"/>
                <w:szCs w:val="20"/>
                <w:lang w:val="uk-ua"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en-us" w:eastAsia="uk-ua"/>
              </w:rPr>
              <w:t>0.000</w:t>
            </w:r>
            <w:r>
              <w:rPr>
                <w:rFonts w:ascii="Times New Roman" w:hAnsi="Times New Roman" w:eastAsia="Times New Roman"/>
                <w:sz w:val="20"/>
                <w:szCs w:val="20"/>
                <w:lang w:val="uk-ua"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en-us" w:eastAsia="uk-ua"/>
              </w:rPr>
              <w:t>0.000</w:t>
            </w:r>
            <w:r>
              <w:rPr>
                <w:rFonts w:ascii="Times New Roman" w:hAnsi="Times New Roman" w:eastAsia="Times New Roman"/>
                <w:sz w:val="20"/>
                <w:szCs w:val="20"/>
                <w:lang w:val="uk-ua"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en-us" w:eastAsia="uk-ua"/>
              </w:rPr>
              <w:t>0.000</w:t>
            </w:r>
            <w:r>
              <w:rPr>
                <w:rFonts w:ascii="Times New Roman" w:hAnsi="Times New Roman" w:eastAsia="Times New Roman"/>
                <w:sz w:val="20"/>
                <w:szCs w:val="20"/>
                <w:lang w:val="uk-ua" w:eastAsia="uk-ua"/>
              </w:rPr>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 xml:space="preserve">- </w:t>
            </w:r>
            <w:r>
              <w:rPr>
                <w:rFonts w:ascii="Times New Roman" w:hAnsi="Times New Roman" w:eastAsia="Times New Roman"/>
                <w:b/>
                <w:sz w:val="20"/>
                <w:szCs w:val="20"/>
                <w:lang w:val="en-us" w:eastAsia="uk-ua"/>
              </w:rPr>
              <w:t>ін</w:t>
            </w:r>
            <w:r>
              <w:rPr>
                <w:rFonts w:ascii="Times New Roman" w:hAnsi="Times New Roman" w:eastAsia="Times New Roman"/>
                <w:b/>
                <w:sz w:val="20"/>
                <w:szCs w:val="20"/>
                <w:lang w:eastAsia="uk-ua"/>
              </w:rPr>
              <w:t>в</w:t>
            </w:r>
            <w:r>
              <w:rPr>
                <w:rFonts w:ascii="Times New Roman" w:hAnsi="Times New Roman" w:eastAsia="Times New Roman"/>
                <w:b/>
                <w:sz w:val="20"/>
                <w:szCs w:val="20"/>
                <w:lang w:val="en-us" w:eastAsia="uk-ua"/>
              </w:rPr>
              <w:t>естиційна нерухомість</w:t>
            </w:r>
            <w:r>
              <w:rPr>
                <w:rFonts w:ascii="Times New Roman" w:hAnsi="Times New Roman" w:eastAsia="Times New Roman"/>
                <w:b/>
                <w:sz w:val="20"/>
                <w:szCs w:val="20"/>
                <w:lang w:val="uk-ua"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0.000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0.000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 інші</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0.000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r>
      <w:tr>
        <w:trPr>
          <w:cantSplit w:val="0"/>
          <w:trHeight w:val="346" w:hRule="atLeast"/>
        </w:trPr>
        <w:tc>
          <w:tcPr>
            <w:tcW w:w="304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Усього</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uk-ua" w:eastAsia="uk-ua"/>
              </w:rPr>
              <w:t>0.900</w:t>
            </w:r>
            <w:r>
              <w:rPr>
                <w:rFonts w:ascii="Times New Roman" w:hAnsi="Times New Roman" w:eastAsia="Times New Roman"/>
                <w:sz w:val="20"/>
                <w:szCs w:val="20"/>
                <w:lang w:val="en-us" w:eastAsia="uk-ua"/>
              </w:rPr>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0.500</w:t>
            </w:r>
          </w:p>
        </w:tc>
        <w:tc>
          <w:tcPr>
            <w:tcW w:w="114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0.000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0.900</w:t>
            </w:r>
          </w:p>
        </w:tc>
        <w:tc>
          <w:tcPr>
            <w:tcW w:w="114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0.500</w:t>
            </w:r>
          </w:p>
        </w:tc>
      </w:tr>
    </w:tbl>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b/>
          <w:sz w:val="20"/>
          <w:szCs w:val="20"/>
          <w:lang w:val="uk-ua" w:eastAsia="uk-ua"/>
        </w:rPr>
        <w:t xml:space="preserve">Пояснення : </w:t>
      </w:r>
      <w:r>
        <w:rPr>
          <w:rFonts w:ascii="Times New Roman" w:hAnsi="Times New Roman" w:eastAsia="Times New Roman"/>
          <w:b/>
          <w:sz w:val="20"/>
          <w:szCs w:val="20"/>
          <w:lang w:eastAsia="uk-ua"/>
        </w:rPr>
        <w:t xml:space="preserve"> </w:t>
      </w:r>
      <w:r>
        <w:rPr>
          <w:rFonts w:ascii="Times New Roman" w:hAnsi="Times New Roman" w:eastAsia="Times New Roman"/>
          <w:sz w:val="20"/>
          <w:szCs w:val="20"/>
          <w:lang w:eastAsia="uk-ua"/>
        </w:rPr>
        <w:t xml:space="preserve">Пояснення:  Одиницею облiку основних засобiв є об'єкт основних засобiв. Придбанi (створенi) основнi засоби зараховуються на баланс товариства за первiсною вартiстю. Основнi засоби вiдображенi в облiку за фактичними витратами на їх придбання, доставку, установку, спорудження i виготовлення.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При нарахуванні амортизації за основними засобами, іншими необоротними матеріальними активами та нематеріальними активами застосовується відповідно до облікової політики прямолінійний метод.</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Основнi засоби розташовані за адресою: м.Київ, вул.Звiринецька, буд.63. Основнi засоби використовуються належним чином. Ремонт основних засобiв робиться своєчасно. Пiдриємство не має на балансi основних засобiв, отриманих за фiнансовою орендою.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Термiн використання основних засобiв становить: - будiвлi та споруди - 35 рокiв, - машини та обладнання - 15 рокiв, - транспортнi засоби - 15 рокiв, - iншi основнi засоби - 5 рокiв.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Протягом звiтного року нараховано амортизацiю у сумi  7,3  тис.грн., а саме: iнші основні засоби. Лiквiдацiйна вартiсть необоротних матерiальних активiв для цiлей амортизацiї - "0" грн.</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Ступiнь використання основних засобiв (за основними групами) становить: iншi - 100%. Ступень зносу основних засобiв на 31.12.23р. по групам основних засобів становить: будiвлi та споруди - 100%, iншi - 95%. На кінець року первiсна вартiсть основних засобiв становить 20,2 тис.грн., знос 19.7 тис. грн.дно, залишкова вартiсть основних засобiв на кінець 2023 0,5тис. грн.</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Протягом 2023 року надходження основних засобiв не відбувалось. Зменшення балансової вартості основних засобів відбулось через  накопиченого зносу -19.7 тис.грн.</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tbl>
      <w:tblPr>
        <w:tblStyle w:val="NormalTable"/>
        <w:name w:val="Таблица12"/>
        <w:tabOrder w:val="0"/>
        <w:jc w:val="left"/>
        <w:tblInd w:w="0" w:type="dxa"/>
        <w:tblW w:w="9828" w:type="dxa"/>
        <w:tblLook w:val="01E0" w:firstRow="1" w:lastRow="1" w:firstColumn="1" w:lastColumn="1" w:noHBand="0" w:noVBand="0"/>
      </w:tblPr>
      <w:tblGrid>
        <w:gridCol w:w="1252"/>
        <w:gridCol w:w="3438"/>
        <w:gridCol w:w="2571"/>
        <w:gridCol w:w="2567"/>
      </w:tblGrid>
      <w:tr>
        <w:trPr>
          <w:cantSplit w:val="0"/>
          <w:trHeight w:val="244" w:hRule="atLeast"/>
        </w:trPr>
        <w:tc>
          <w:tcPr>
            <w:tcW w:w="9828" w:type="dxa"/>
            <w:gridSpan w:val="4"/>
            <w:tmTcPr id="1759223788" protected="0"/>
          </w:tcPr>
          <w:p>
            <w:pPr>
              <w:spacing w:after="0" w:line="240" w:lineRule="auto"/>
              <w:jc w:val="center"/>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Інформація щодо вартості чистих активів емітента</w:t>
            </w:r>
          </w:p>
          <w:p>
            <w:pPr>
              <w:spacing w:after="0" w:line="240" w:lineRule="auto"/>
              <w:rPr>
                <w:rFonts w:ascii="Times New Roman" w:hAnsi="Times New Roman" w:eastAsia="Times New Roman"/>
                <w:sz w:val="24"/>
                <w:szCs w:val="24"/>
                <w:lang w:val="uk-ua" w:eastAsia="uk-ua"/>
              </w:rPr>
            </w:pPr>
            <w:r>
              <w:rPr>
                <w:rFonts w:ascii="Times New Roman" w:hAnsi="Times New Roman" w:eastAsia="Times New Roman"/>
                <w:sz w:val="24"/>
                <w:szCs w:val="24"/>
                <w:lang w:val="uk-ua" w:eastAsia="uk-ua"/>
              </w:rPr>
            </w:r>
          </w:p>
        </w:tc>
      </w:tr>
      <w:tr>
        <w:trPr>
          <w:cantSplit w:val="0"/>
          <w:trHeight w:val="496" w:hRule="atLeast"/>
        </w:trPr>
        <w:tc>
          <w:tcPr>
            <w:tcW w:w="4690" w:type="dxa"/>
            <w:gridSpan w:val="2"/>
            <w:vAlign w:val="center"/>
            <w:tcBorders>
              <w:top w:val="single" w:sz="4" w:space="0" w:color="000000" tmln="10, 20, 20, 0, 0"/>
              <w:left w:val="single" w:sz="4" w:space="0" w:color="000000" tmln="10,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b/>
                <w:sz w:val="20"/>
                <w:szCs w:val="20"/>
                <w:lang w:eastAsia="uk-ua"/>
              </w:rPr>
              <w:t>Найменування показника</w:t>
            </w:r>
            <w:r>
              <w:rPr>
                <w:rFonts w:ascii="Times New Roman" w:hAnsi="Times New Roman" w:eastAsia="Times New Roman"/>
                <w:b/>
                <w:sz w:val="20"/>
                <w:szCs w:val="20"/>
                <w:lang w:val="en-us" w:eastAsia="uk-ua"/>
              </w:rPr>
              <w:t xml:space="preserve"> </w:t>
            </w:r>
            <w:r>
              <w:rPr>
                <w:rFonts w:ascii="Times New Roman" w:hAnsi="Times New Roman" w:eastAsia="Times New Roman"/>
                <w:b/>
                <w:sz w:val="20"/>
                <w:szCs w:val="20"/>
                <w:lang w:val="uk-ua" w:eastAsia="uk-ua"/>
              </w:rPr>
            </w:r>
          </w:p>
        </w:tc>
        <w:tc>
          <w:tcPr>
            <w:tcW w:w="2571" w:type="dxa"/>
            <w:vAlign w:val="center"/>
            <w:tcBorders>
              <w:top w:val="single" w:sz="4" w:space="0" w:color="000000" tmln="10,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sz w:val="20"/>
                <w:szCs w:val="20"/>
                <w:lang w:eastAsia="uk-ua"/>
              </w:rPr>
            </w:pPr>
            <w:r>
              <w:rPr>
                <w:rFonts w:ascii="Times New Roman" w:hAnsi="Times New Roman" w:eastAsia="Times New Roman"/>
                <w:b/>
                <w:sz w:val="20"/>
                <w:szCs w:val="20"/>
                <w:lang w:eastAsia="uk-ua"/>
              </w:rPr>
              <w:t>За звітний період</w:t>
            </w:r>
          </w:p>
        </w:tc>
        <w:tc>
          <w:tcPr>
            <w:tcW w:w="2567" w:type="dxa"/>
            <w:vAlign w:val="center"/>
            <w:tcBorders>
              <w:top w:val="single" w:sz="4" w:space="0" w:color="000000" tmln="10, 20, 20, 0, 0"/>
              <w:left w:val="single" w:sz="6" w:space="0" w:color="000000" tmln="15, 20, 20, 0, 0"/>
              <w:bottom w:val="single" w:sz="6" w:space="0" w:color="000000" tmln="15,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eastAsia="uk-ua"/>
              </w:rPr>
            </w:pPr>
            <w:r>
              <w:rPr>
                <w:rFonts w:ascii="Times New Roman" w:hAnsi="Times New Roman" w:eastAsia="Times New Roman"/>
                <w:b/>
                <w:sz w:val="20"/>
                <w:szCs w:val="20"/>
                <w:lang w:eastAsia="uk-ua"/>
              </w:rPr>
              <w:t>За попередній період</w:t>
            </w:r>
          </w:p>
        </w:tc>
      </w:tr>
      <w:tr>
        <w:trPr>
          <w:cantSplit w:val="0"/>
          <w:trHeight w:val="399" w:hRule="atLeast"/>
        </w:trPr>
        <w:tc>
          <w:tcPr>
            <w:tcW w:w="4690" w:type="dxa"/>
            <w:gridSpan w:val="2"/>
            <w:vAlign w:val="center"/>
            <w:tcBorders>
              <w:top w:val="single" w:sz="6" w:space="0" w:color="000000" tmln="15, 20, 20, 0, 0"/>
              <w:left w:val="single" w:sz="4" w:space="0" w:color="000000" tmln="10,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
                <w:sz w:val="20"/>
                <w:szCs w:val="20"/>
                <w:lang w:eastAsia="uk-ua"/>
              </w:rPr>
            </w:pPr>
            <w:r>
              <w:rPr>
                <w:rFonts w:ascii="Times New Roman" w:hAnsi="Times New Roman" w:eastAsia="Times New Roman"/>
                <w:b/>
                <w:sz w:val="20"/>
                <w:szCs w:val="20"/>
                <w:lang w:eastAsia="uk-ua"/>
              </w:rPr>
              <w:t>Розрахункова вартість чистих активів (тис.грн.)</w:t>
            </w:r>
          </w:p>
        </w:tc>
        <w:tc>
          <w:tcPr>
            <w:tcW w:w="2571"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5931.8</w:t>
            </w:r>
            <w:r>
              <w:rPr>
                <w:rFonts w:ascii="Times New Roman" w:hAnsi="Times New Roman" w:eastAsia="Times New Roman"/>
                <w:sz w:val="20"/>
                <w:szCs w:val="20"/>
                <w:lang w:eastAsia="uk-ua"/>
              </w:rPr>
            </w:r>
          </w:p>
        </w:tc>
        <w:tc>
          <w:tcPr>
            <w:tcW w:w="2567" w:type="dxa"/>
            <w:vAlign w:val="center"/>
            <w:tcBorders>
              <w:top w:val="single" w:sz="6" w:space="0" w:color="000000" tmln="15, 20, 20, 0, 0"/>
              <w:left w:val="single" w:sz="6" w:space="0" w:color="000000" tmln="15, 20, 20, 0, 0"/>
              <w:bottom w:val="single" w:sz="6" w:space="0" w:color="000000" tmln="15,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5767.7</w:t>
            </w:r>
            <w:r>
              <w:rPr>
                <w:rFonts w:ascii="Times New Roman" w:hAnsi="Times New Roman" w:eastAsia="Times New Roman"/>
                <w:sz w:val="20"/>
                <w:szCs w:val="20"/>
                <w:lang w:eastAsia="uk-ua"/>
              </w:rPr>
            </w:r>
          </w:p>
        </w:tc>
      </w:tr>
      <w:tr>
        <w:trPr>
          <w:cantSplit w:val="0"/>
          <w:trHeight w:val="418" w:hRule="atLeast"/>
        </w:trPr>
        <w:tc>
          <w:tcPr>
            <w:tcW w:w="4690" w:type="dxa"/>
            <w:gridSpan w:val="2"/>
            <w:vAlign w:val="center"/>
            <w:tcBorders>
              <w:top w:val="single" w:sz="6" w:space="0" w:color="000000" tmln="15, 20, 20, 0, 0"/>
              <w:left w:val="single" w:sz="4" w:space="0" w:color="000000" tmln="10,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
                <w:sz w:val="20"/>
                <w:szCs w:val="20"/>
                <w:lang w:eastAsia="uk-ua"/>
              </w:rPr>
            </w:pPr>
            <w:r>
              <w:rPr>
                <w:rFonts w:ascii="Times New Roman" w:hAnsi="Times New Roman" w:eastAsia="Times New Roman"/>
                <w:b/>
                <w:sz w:val="20"/>
                <w:szCs w:val="20"/>
                <w:lang w:eastAsia="uk-ua"/>
              </w:rPr>
              <w:t>Статутний капітал (тис.грн.)</w:t>
            </w:r>
          </w:p>
        </w:tc>
        <w:tc>
          <w:tcPr>
            <w:tcW w:w="2571"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3956.3</w:t>
            </w:r>
            <w:r>
              <w:rPr>
                <w:rFonts w:ascii="Times New Roman" w:hAnsi="Times New Roman" w:eastAsia="Times New Roman"/>
                <w:sz w:val="20"/>
                <w:szCs w:val="20"/>
                <w:lang w:eastAsia="uk-ua"/>
              </w:rPr>
            </w:r>
          </w:p>
        </w:tc>
        <w:tc>
          <w:tcPr>
            <w:tcW w:w="2567" w:type="dxa"/>
            <w:vAlign w:val="center"/>
            <w:tcBorders>
              <w:top w:val="single" w:sz="6" w:space="0" w:color="000000" tmln="15, 20, 20, 0, 0"/>
              <w:left w:val="single" w:sz="6" w:space="0" w:color="000000" tmln="15, 20, 20, 0, 0"/>
              <w:bottom w:val="single" w:sz="6" w:space="0" w:color="000000" tmln="15,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3956.3</w:t>
            </w:r>
            <w:r>
              <w:rPr>
                <w:rFonts w:ascii="Times New Roman" w:hAnsi="Times New Roman" w:eastAsia="Times New Roman"/>
                <w:sz w:val="20"/>
                <w:szCs w:val="20"/>
                <w:lang w:eastAsia="uk-ua"/>
              </w:rPr>
            </w:r>
          </w:p>
        </w:tc>
      </w:tr>
      <w:tr>
        <w:trPr>
          <w:cantSplit w:val="0"/>
          <w:trHeight w:val="410" w:hRule="atLeast"/>
        </w:trPr>
        <w:tc>
          <w:tcPr>
            <w:tcW w:w="4690" w:type="dxa"/>
            <w:gridSpan w:val="2"/>
            <w:vAlign w:val="center"/>
            <w:tcBorders>
              <w:top w:val="single" w:sz="6" w:space="0" w:color="000000" tmln="15, 20, 20, 0, 0"/>
              <w:left w:val="single" w:sz="4" w:space="0" w:color="000000" tmln="10,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
                <w:sz w:val="20"/>
                <w:szCs w:val="20"/>
                <w:lang w:eastAsia="uk-ua"/>
              </w:rPr>
            </w:pPr>
            <w:r>
              <w:rPr>
                <w:rFonts w:ascii="Times New Roman" w:hAnsi="Times New Roman" w:eastAsia="Times New Roman"/>
                <w:b/>
                <w:sz w:val="20"/>
                <w:szCs w:val="20"/>
                <w:lang w:eastAsia="uk-ua"/>
              </w:rPr>
              <w:t>Скоригований статутний капітал (тис.грн.)</w:t>
            </w:r>
          </w:p>
        </w:tc>
        <w:tc>
          <w:tcPr>
            <w:tcW w:w="2571"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3956.3</w:t>
            </w:r>
            <w:r>
              <w:rPr>
                <w:rFonts w:ascii="Times New Roman" w:hAnsi="Times New Roman" w:eastAsia="Times New Roman"/>
                <w:sz w:val="20"/>
                <w:szCs w:val="20"/>
                <w:lang w:eastAsia="uk-ua"/>
              </w:rPr>
            </w:r>
          </w:p>
        </w:tc>
        <w:tc>
          <w:tcPr>
            <w:tcW w:w="2567" w:type="dxa"/>
            <w:vAlign w:val="center"/>
            <w:tcBorders>
              <w:top w:val="single" w:sz="6" w:space="0" w:color="000000" tmln="15, 20, 20, 0, 0"/>
              <w:left w:val="single" w:sz="6" w:space="0" w:color="000000" tmln="15, 20, 20, 0, 0"/>
              <w:bottom w:val="single" w:sz="6" w:space="0" w:color="000000" tmln="15,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3956.3</w:t>
            </w:r>
            <w:r>
              <w:rPr>
                <w:rFonts w:ascii="Times New Roman" w:hAnsi="Times New Roman" w:eastAsia="Times New Roman"/>
                <w:sz w:val="20"/>
                <w:szCs w:val="20"/>
                <w:lang w:eastAsia="uk-ua"/>
              </w:rPr>
            </w:r>
          </w:p>
        </w:tc>
      </w:tr>
      <w:tr>
        <w:trPr>
          <w:cantSplit w:val="0"/>
          <w:trHeight w:val="410" w:hRule="atLeast"/>
        </w:trPr>
        <w:tc>
          <w:tcPr>
            <w:tcW w:w="4690" w:type="dxa"/>
            <w:gridSpan w:val="2"/>
            <w:vAlign w:val="center"/>
            <w:tcBorders>
              <w:top w:val="single" w:sz="6" w:space="0" w:color="000000" tmln="15, 20, 20, 0, 0"/>
              <w:left w:val="single" w:sz="4" w:space="0" w:color="000000" tmln="10,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
                <w:sz w:val="20"/>
                <w:szCs w:val="20"/>
                <w:lang w:eastAsia="uk-ua"/>
              </w:rPr>
            </w:pPr>
            <w:r>
              <w:rPr>
                <w:rFonts w:ascii="Times New Roman" w:hAnsi="Times New Roman" w:eastAsia="Times New Roman"/>
                <w:b/>
                <w:sz w:val="20"/>
                <w:szCs w:val="24"/>
                <w:lang w:val="uk-ua" w:eastAsia="uk-ua"/>
              </w:rPr>
              <w:t>Співвідношення (у відсотках) вартості чистих активів особи за звітний період до розміру зареєстрованого статутного капіталу особи</w:t>
            </w:r>
            <w:r>
              <w:rPr>
                <w:rFonts w:ascii="Times New Roman" w:hAnsi="Times New Roman" w:eastAsia="Times New Roman"/>
                <w:b/>
                <w:sz w:val="20"/>
                <w:szCs w:val="20"/>
                <w:lang w:eastAsia="uk-ua"/>
              </w:rPr>
            </w:r>
          </w:p>
        </w:tc>
        <w:tc>
          <w:tcPr>
            <w:tcW w:w="2571"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149.933</w:t>
            </w:r>
            <w:r>
              <w:rPr>
                <w:rFonts w:ascii="Times New Roman" w:hAnsi="Times New Roman" w:eastAsia="Times New Roman"/>
                <w:sz w:val="20"/>
                <w:szCs w:val="20"/>
                <w:lang w:eastAsia="uk-ua"/>
              </w:rPr>
            </w:r>
          </w:p>
        </w:tc>
        <w:tc>
          <w:tcPr>
            <w:tcW w:w="2567" w:type="dxa"/>
            <w:vAlign w:val="center"/>
            <w:tcBorders>
              <w:top w:val="single" w:sz="6" w:space="0" w:color="000000" tmln="15, 20, 20, 0, 0"/>
              <w:left w:val="single" w:sz="6" w:space="0" w:color="000000" tmln="15, 20, 20, 0, 0"/>
              <w:bottom w:val="single" w:sz="6" w:space="0" w:color="000000" tmln="15,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145.785</w:t>
            </w:r>
            <w:r>
              <w:rPr>
                <w:rFonts w:ascii="Times New Roman" w:hAnsi="Times New Roman" w:eastAsia="Times New Roman"/>
                <w:sz w:val="20"/>
                <w:szCs w:val="20"/>
                <w:lang w:eastAsia="uk-ua"/>
              </w:rPr>
            </w:r>
          </w:p>
        </w:tc>
      </w:tr>
      <w:tr>
        <w:trPr>
          <w:cantSplit w:val="0"/>
          <w:trHeight w:val="410" w:hRule="atLeast"/>
        </w:trPr>
        <w:tc>
          <w:tcPr>
            <w:tcW w:w="4690" w:type="dxa"/>
            <w:gridSpan w:val="2"/>
            <w:vAlign w:val="center"/>
            <w:tcBorders>
              <w:top w:val="single" w:sz="6" w:space="0" w:color="000000" tmln="15, 20, 20, 0, 0"/>
              <w:left w:val="single" w:sz="4" w:space="0" w:color="000000" tmln="10,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
                <w:sz w:val="20"/>
                <w:szCs w:val="20"/>
                <w:lang w:eastAsia="uk-ua"/>
              </w:rPr>
            </w:pPr>
            <w:r>
              <w:rPr>
                <w:rFonts w:ascii="Times New Roman" w:hAnsi="Times New Roman" w:eastAsia="Times New Roman"/>
                <w:b/>
                <w:sz w:val="20"/>
                <w:szCs w:val="24"/>
                <w:lang w:val="uk-ua" w:eastAsia="uk-ua"/>
              </w:rPr>
              <w:t>Співвідношення (у відсотках) вартості чистих активів особи за звітний період до вартості чистих активів за попередній звітний період</w:t>
            </w:r>
            <w:r>
              <w:rPr>
                <w:rFonts w:ascii="Times New Roman" w:hAnsi="Times New Roman" w:eastAsia="Times New Roman"/>
                <w:b/>
                <w:sz w:val="20"/>
                <w:szCs w:val="20"/>
                <w:lang w:eastAsia="uk-ua"/>
              </w:rPr>
            </w:r>
          </w:p>
        </w:tc>
        <w:tc>
          <w:tcPr>
            <w:tcW w:w="2571" w:type="dxa"/>
            <w:vAlign w:val="cente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102.845</w:t>
            </w:r>
            <w:r>
              <w:rPr>
                <w:rFonts w:ascii="Times New Roman" w:hAnsi="Times New Roman" w:eastAsia="Times New Roman"/>
                <w:sz w:val="20"/>
                <w:szCs w:val="20"/>
                <w:lang w:eastAsia="uk-ua"/>
              </w:rPr>
            </w:r>
          </w:p>
        </w:tc>
        <w:tc>
          <w:tcPr>
            <w:tcW w:w="2567" w:type="dxa"/>
            <w:vAlign w:val="center"/>
            <w:tcBorders>
              <w:top w:val="single" w:sz="6" w:space="0" w:color="000000" tmln="15, 20, 20, 0, 0"/>
              <w:left w:val="single" w:sz="6" w:space="0" w:color="000000" tmln="15, 20, 20, 0, 0"/>
              <w:bottom w:val="single" w:sz="6" w:space="0" w:color="000000" tmln="15,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100.789</w:t>
            </w:r>
            <w:r>
              <w:rPr>
                <w:rFonts w:ascii="Times New Roman" w:hAnsi="Times New Roman" w:eastAsia="Times New Roman"/>
                <w:sz w:val="20"/>
                <w:szCs w:val="20"/>
                <w:lang w:eastAsia="uk-ua"/>
              </w:rPr>
            </w:r>
          </w:p>
        </w:tc>
      </w:tr>
      <w:tr>
        <w:trPr>
          <w:cantSplit w:val="0"/>
          <w:trHeight w:val="340" w:hRule="atLeast"/>
        </w:trPr>
        <w:tc>
          <w:tcPr>
            <w:tcW w:w="1252" w:type="dxa"/>
            <w:tcBorders>
              <w:top w:val="single" w:sz="6" w:space="0" w:color="000000" tmln="15, 20, 20, 0, 0"/>
              <w:left w:val="single" w:sz="4" w:space="0" w:color="000000" tmln="10,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
                <w:sz w:val="20"/>
                <w:szCs w:val="20"/>
                <w:lang w:eastAsia="uk-ua"/>
              </w:rPr>
            </w:pPr>
            <w:r>
              <w:rPr>
                <w:rFonts w:ascii="Times New Roman" w:hAnsi="Times New Roman" w:eastAsia="Times New Roman"/>
                <w:b/>
                <w:sz w:val="20"/>
                <w:szCs w:val="20"/>
                <w:lang w:eastAsia="uk-ua"/>
              </w:rPr>
              <w:t>Додаткова інформація</w:t>
            </w:r>
          </w:p>
        </w:tc>
        <w:tc>
          <w:tcPr>
            <w:tcW w:w="8576" w:type="dxa"/>
            <w:gridSpan w:val="3"/>
            <w:tcBorders>
              <w:top w:val="single" w:sz="6" w:space="0" w:color="000000" tmln="15, 20, 20, 0, 0"/>
              <w:left w:val="single" w:sz="6" w:space="0" w:color="000000" tmln="15, 20, 20, 0, 0"/>
              <w:bottom w:val="single" w:sz="6" w:space="0" w:color="000000" tmln="15, 20, 20, 0, 0"/>
              <w:right w:val="single" w:sz="4" w:space="0" w:color="000000" tmln="10, 20, 20, 0, 0"/>
            </w:tcBorders>
            <w:tmTcPr id="1759223788" protected="0"/>
          </w:tcPr>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Розрахунок вартості чистих активів виконано відповідно до пункту 2 статті 16 Закону України "Про акціонерні товариства" №2465-</w:t>
            </w:r>
            <w:r>
              <w:rPr>
                <w:rFonts w:ascii="Times New Roman" w:hAnsi="Times New Roman" w:eastAsia="Times New Roman"/>
                <w:sz w:val="20"/>
                <w:szCs w:val="20"/>
                <w:lang w:val="en-us" w:eastAsia="uk-ua"/>
              </w:rPr>
              <w:t>IX</w:t>
            </w:r>
            <w:r>
              <w:rPr>
                <w:rFonts w:ascii="Times New Roman" w:hAnsi="Times New Roman" w:eastAsia="Times New Roman"/>
                <w:sz w:val="20"/>
                <w:szCs w:val="20"/>
                <w:lang w:eastAsia="uk-ua"/>
              </w:rPr>
              <w:t xml:space="preserve">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Співвідношення вартості чистих активів особи за звітний період (5767.7 тис.грн ) до розміру зареєстрованого статутного капіталу особи (3956.3 тис.грн ) - 145.785%.</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Співвідношення вартості чистих активів особи за звітний період (5767.7 тис.грн ) до вартості чистих активів за попередній звітний період (57225.0 тис.грн ) - 100.789%.</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Вимоги п.2 ст.16 Закону України "Про акціонерні товариства" дотримуються.</w:t>
            </w:r>
          </w:p>
        </w:tc>
      </w:tr>
    </w:tbl>
    <w:p>
      <w:pPr>
        <w:spacing w:after="0" w:line="240" w:lineRule="auto"/>
        <w:rPr>
          <w:rFonts w:ascii="Times New Roman" w:hAnsi="Times New Roman" w:eastAsia="Times New Roman"/>
          <w:sz w:val="24"/>
          <w:szCs w:val="24"/>
          <w:lang w:eastAsia="uk-ua"/>
        </w:rPr>
      </w:pPr>
      <w:r>
        <w:rPr>
          <w:rFonts w:ascii="Times New Roman" w:hAnsi="Times New Roman" w:eastAsia="Times New Roman"/>
          <w:sz w:val="24"/>
          <w:szCs w:val="24"/>
          <w:lang w:eastAsia="uk-ua"/>
        </w:rPr>
      </w:r>
    </w:p>
    <w:p>
      <w:pPr>
        <w:spacing w:after="0" w:line="240" w:lineRule="auto"/>
        <w:jc w:val="center"/>
        <w:rPr>
          <w:rFonts w:ascii="Times New Roman" w:hAnsi="Times New Roman" w:eastAsia="Times New Roman"/>
          <w:b/>
          <w:sz w:val="24"/>
          <w:szCs w:val="24"/>
          <w:lang w:val="uk-ua" w:eastAsia="uk-ua"/>
        </w:rPr>
      </w:pPr>
      <w:r>
        <w:rPr>
          <w:rFonts w:ascii="Times New Roman" w:hAnsi="Times New Roman" w:eastAsia="Times New Roman"/>
          <w:b/>
          <w:sz w:val="24"/>
          <w:szCs w:val="24"/>
          <w:lang w:eastAsia="uk-ua"/>
        </w:rPr>
        <w:t>Інформація про зобов'язання та забезпечення емітента</w:t>
      </w:r>
      <w:r>
        <w:rPr>
          <w:rFonts w:ascii="Times New Roman" w:hAnsi="Times New Roman" w:eastAsia="Times New Roman"/>
          <w:b/>
          <w:sz w:val="24"/>
          <w:szCs w:val="24"/>
          <w:lang w:val="uk-ua" w:eastAsia="uk-ua"/>
        </w:rPr>
      </w:r>
    </w:p>
    <w:p>
      <w:pPr>
        <w:spacing w:after="0" w:line="240" w:lineRule="auto"/>
        <w:rPr>
          <w:rFonts w:ascii="Times New Roman" w:hAnsi="Times New Roman" w:eastAsia="Times New Roman"/>
          <w:vanish w:val="1"/>
          <w:color w:val="000000"/>
          <w:sz w:val="24"/>
          <w:szCs w:val="24"/>
          <w:lang w:val="uk-ua" w:eastAsia="uk-ua"/>
        </w:rPr>
      </w:pPr>
      <w:r>
        <w:rPr>
          <w:rFonts w:ascii="Times New Roman" w:hAnsi="Times New Roman" w:eastAsia="Times New Roman"/>
          <w:vanish w:val="1"/>
          <w:color w:val="000000"/>
          <w:sz w:val="24"/>
          <w:szCs w:val="24"/>
          <w:lang w:val="uk-ua" w:eastAsia="uk-ua"/>
        </w:rPr>
      </w:r>
    </w:p>
    <w:tbl>
      <w:tblPr>
        <w:tblStyle w:val="NormalTable"/>
        <w:name w:val="Таблица13"/>
        <w:tabOrder w:val="0"/>
        <w:jc w:val="left"/>
        <w:tblInd w:w="15" w:type="dxa"/>
        <w:tblW w:w="9953" w:type="dxa"/>
        <w:tblLook w:val="0000" w:firstRow="0" w:lastRow="0" w:firstColumn="0" w:lastColumn="0" w:noHBand="0" w:noVBand="0"/>
      </w:tblPr>
      <w:tblGrid>
        <w:gridCol w:w="4494"/>
        <w:gridCol w:w="1189"/>
        <w:gridCol w:w="1386"/>
        <w:gridCol w:w="1652"/>
        <w:gridCol w:w="1232"/>
      </w:tblGrid>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Види зобов’</w:t>
            </w:r>
            <w:r>
              <w:rPr>
                <w:rFonts w:ascii="Times New Roman" w:hAnsi="Times New Roman" w:eastAsia="Times New Roman"/>
                <w:b/>
                <w:bCs/>
                <w:sz w:val="20"/>
                <w:szCs w:val="20"/>
                <w:lang w:val="en-us" w:eastAsia="uk-ua"/>
              </w:rPr>
              <w:t>язань</w:t>
            </w:r>
            <w:r>
              <w:rPr>
                <w:rFonts w:ascii="Times New Roman" w:hAnsi="Times New Roman" w:eastAsia="Times New Roman"/>
                <w:b/>
                <w:bCs/>
                <w:sz w:val="20"/>
                <w:szCs w:val="20"/>
                <w:lang w:val="uk-ua" w:eastAsia="uk-ua"/>
              </w:rPr>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Дата виникнення</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Непогашена частина боргу (тис.грн.)</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Відсоток за користування коштами (відсоток річних)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Дата погашення</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Кредити банку, у тому числі :</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Зобов'язання за цінними паперами</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у тому числі за облігаціями (за кожним випуском) :</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за іпотечними цінними паперами (за кожним власним випуском):</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за сертифікатами ФОН (за кожним власним випуском):</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За векселями ( всього ):</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за іншими цінними паперами (у тому числі за деривативами) (за кожним видом):</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За фінансовими інвестиціями в корпоративні права (за кожним видом):</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Податкові зобов'язання :</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Податкові зобов'язання</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д/н</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0.000</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д/н</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Фінансова допомога на зворотній основі :</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Інші зобов'язання та забезпечення :</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1322.80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Розрахунки з підзвітними особами</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31.12.2020</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0.000</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д/н</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Розрахунки з покупцями</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31.12.2021</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0.000</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д/н</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Податковий кредит</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31.12.2021</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0.000</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д/н</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Розрахунки з постачальниками</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31.12.2021</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1176.40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0.000</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д/н</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Розрахунки зі страхування</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31.12.2021</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0.00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0.000</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д/н</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Інші поточні зобов'язання</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31.12.2023</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30.30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0.000</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д/н</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Розрахунки з бюджетом</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31.12.2023</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116.10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0.000</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д/н</w:t>
            </w:r>
          </w:p>
        </w:tc>
      </w:tr>
      <w:tr>
        <w:trPr>
          <w:cantSplit w:val="0"/>
          <w:trHeight w:val="0" w:hRule="auto"/>
        </w:trPr>
        <w:tc>
          <w:tcPr>
            <w:tcW w:w="449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Усього зобов'язань та забезпечень</w:t>
            </w:r>
          </w:p>
        </w:tc>
        <w:tc>
          <w:tcPr>
            <w:tcW w:w="118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38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1322.80</w:t>
            </w:r>
          </w:p>
        </w:tc>
        <w:tc>
          <w:tcPr>
            <w:tcW w:w="1652"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c>
          <w:tcPr>
            <w:tcW w:w="123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Х</w:t>
            </w:r>
          </w:p>
        </w:tc>
      </w:tr>
    </w:tbl>
    <w:p>
      <w:pPr>
        <w:spacing w:after="0" w:line="240" w:lineRule="auto"/>
        <w:rPr>
          <w:rFonts w:ascii="Times New Roman" w:hAnsi="Times New Roman" w:eastAsia="Times New Roman"/>
          <w:sz w:val="24"/>
          <w:szCs w:val="24"/>
          <w:lang w:val="en-us" w:eastAsia="uk-ua"/>
        </w:rPr>
      </w:pPr>
      <w:r>
        <w:rPr>
          <w:rFonts w:ascii="Times New Roman" w:hAnsi="Times New Roman" w:eastAsia="Times New Roman"/>
          <w:sz w:val="24"/>
          <w:szCs w:val="24"/>
          <w:lang w:val="en-us"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14"/>
          <w:footerReference w:type="default" r:id="rId15"/>
          <w:type w:val="nextPage"/>
          <w:pgSz w:h="16838" w:w="11906"/>
          <w:pgMar w:left="1417" w:top="363" w:right="567" w:bottom="363"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ind w:left="284"/>
        <w:spacing w:after="0" w:line="240" w:lineRule="auto"/>
        <w:jc w:val="center"/>
        <w:rPr>
          <w:rFonts w:ascii="Times New Roman" w:hAnsi="Times New Roman" w:eastAsia="Times New Roman"/>
          <w:b/>
          <w:sz w:val="24"/>
          <w:szCs w:val="24"/>
          <w:lang w:val="uk-ua" w:eastAsia="uk-ua"/>
        </w:rPr>
      </w:pPr>
      <w:r>
        <w:rPr>
          <w:rFonts w:ascii="Times New Roman" w:hAnsi="Times New Roman" w:eastAsia="Times New Roman"/>
          <w:b/>
          <w:sz w:val="24"/>
          <w:szCs w:val="24"/>
          <w:lang w:eastAsia="uk-ua"/>
        </w:rPr>
        <w:t>Інформація про обсяги виробництва та реалізації основних видів продукції</w:t>
      </w:r>
      <w:r>
        <w:rPr>
          <w:rFonts w:ascii="Times New Roman" w:hAnsi="Times New Roman" w:eastAsia="Times New Roman"/>
          <w:b/>
          <w:sz w:val="24"/>
          <w:szCs w:val="24"/>
          <w:lang w:val="uk-ua" w:eastAsia="uk-ua"/>
        </w:rPr>
      </w:r>
    </w:p>
    <w:tbl>
      <w:tblPr>
        <w:tblStyle w:val="NormalTable"/>
        <w:name w:val="Таблица14"/>
        <w:tabOrder w:val="0"/>
        <w:jc w:val="left"/>
        <w:tblInd w:w="375" w:type="dxa"/>
        <w:tblW w:w="15542" w:type="dxa"/>
        <w:tblLook w:val="0000" w:firstRow="0" w:lastRow="0" w:firstColumn="0" w:lastColumn="0" w:noHBand="0" w:noVBand="0"/>
      </w:tblPr>
      <w:tblGrid>
        <w:gridCol w:w="634"/>
        <w:gridCol w:w="4326"/>
        <w:gridCol w:w="1735"/>
        <w:gridCol w:w="1736"/>
        <w:gridCol w:w="1736"/>
        <w:gridCol w:w="1777"/>
        <w:gridCol w:w="1820"/>
        <w:gridCol w:w="1778"/>
      </w:tblGrid>
      <w:tr>
        <w:trPr>
          <w:cantSplit w:val="0"/>
          <w:trHeight w:val="0" w:hRule="auto"/>
        </w:trPr>
        <w:tc>
          <w:tcPr>
            <w:tcW w:w="634" w:type="dxa"/>
            <w:vMerge w:val="restart"/>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88" protected="0"/>
          </w:tcPr>
          <w:p>
            <w:pPr>
              <w:ind w:left="180" w:hanging="180"/>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 з/п</w:t>
            </w:r>
          </w:p>
        </w:tc>
        <w:tc>
          <w:tcPr>
            <w:tcW w:w="4326" w:type="dxa"/>
            <w:vMerge w:val="restart"/>
            <w:vAlign w:val="center"/>
            <w:tcMar>
              <w:top w:w="15" w:type="dxa"/>
              <w:left w:w="15" w:type="dxa"/>
              <w:bottom w:w="15" w:type="dxa"/>
              <w:right w:w="15" w:type="dxa"/>
            </w:tcMar>
            <w:tcBorders>
              <w:top w:val="single" w:sz="6" w:space="0" w:color="000000" tmln="15, 20, 20, 0, 0"/>
              <w:left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Основний вид продукції</w:t>
            </w:r>
          </w:p>
        </w:tc>
        <w:tc>
          <w:tcPr>
            <w:tcW w:w="5207" w:type="dxa"/>
            <w:gridSpan w:val="3"/>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Обсяг виробництва</w:t>
            </w:r>
          </w:p>
        </w:tc>
        <w:tc>
          <w:tcPr>
            <w:tcW w:w="5375" w:type="dxa"/>
            <w:gridSpan w:val="3"/>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Обсяг реалізованої продукції</w:t>
            </w:r>
          </w:p>
        </w:tc>
      </w:tr>
      <w:tr>
        <w:trPr>
          <w:cantSplit w:val="0"/>
          <w:trHeight w:val="0" w:hRule="auto"/>
        </w:trPr>
        <w:tc>
          <w:tcPr>
            <w:tcW w:w="634" w:type="dxa"/>
            <w:vMerge/>
            <w:vAlign w:val="center"/>
            <w:tcMar>
              <w:top w:w="15" w:type="dxa"/>
              <w:left w:w="15" w:type="dxa"/>
              <w:bottom w:w="15" w:type="dxa"/>
              <w:right w:w="15" w:type="dxa"/>
            </w:tcMar>
            <w:tcBorders>
              <w:left w:val="single" w:sz="6" w:space="0" w:color="000000" tmln="15, 20, 20, 0, 0"/>
              <w:bottom w:val="single" w:sz="6" w:space="0" w:color="000000" tmln="15, 20, 20, 0, 0"/>
              <w:right w:val="single" w:sz="6" w:space="0" w:color="000000" tmln="15, 20, 20, 0, 0"/>
            </w:tcBorders>
            <w:tmTcPr id="1759223788" protected="0"/>
          </w:tcPr>
          <w:p/>
        </w:tc>
        <w:tc>
          <w:tcPr>
            <w:tcW w:w="4326" w:type="dxa"/>
            <w:vMerge/>
            <w:vAlign w:val="center"/>
            <w:tcMar>
              <w:top w:w="15" w:type="dxa"/>
              <w:left w:w="15" w:type="dxa"/>
              <w:bottom w:w="15" w:type="dxa"/>
              <w:right w:w="15" w:type="dxa"/>
            </w:tcMar>
            <w:tcBorders>
              <w:left w:val="single" w:sz="6" w:space="0" w:color="000000" tmln="15, 20, 20, 0, 0"/>
              <w:bottom w:val="single" w:sz="6" w:space="0" w:color="000000" tmln="15, 20, 20, 0, 0"/>
              <w:right w:val="single" w:sz="6" w:space="0" w:color="000000" tmln="15, 20, 20, 0, 0"/>
            </w:tcBorders>
            <w:tmTcPr id="1759223788" protected="0"/>
          </w:tcPr>
          <w:p/>
        </w:tc>
        <w:tc>
          <w:tcPr>
            <w:tcW w:w="173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у натуральній формі (фізична одиниця виміру)</w:t>
            </w:r>
          </w:p>
        </w:tc>
        <w:tc>
          <w:tcPr>
            <w:tcW w:w="173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у грошові формі (тис.грн.)</w:t>
            </w:r>
          </w:p>
        </w:tc>
        <w:tc>
          <w:tcPr>
            <w:tcW w:w="173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у відсотках до всієї виробленої продукції</w:t>
            </w:r>
          </w:p>
        </w:tc>
        <w:tc>
          <w:tcPr>
            <w:tcW w:w="1777" w:type="dxa"/>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у натуральній формі (фізична одиниця виміру)</w:t>
            </w:r>
          </w:p>
        </w:tc>
        <w:tc>
          <w:tcPr>
            <w:tcW w:w="1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у грошові формі (тис.грн.)</w:t>
            </w:r>
          </w:p>
        </w:tc>
        <w:tc>
          <w:tcPr>
            <w:tcW w:w="1778"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у відсотках до всієї реалізованої продукції</w:t>
            </w:r>
            <w:r>
              <w:rPr>
                <w:rFonts w:ascii="Times New Roman" w:hAnsi="Times New Roman" w:eastAsia="Times New Roman"/>
                <w:b/>
                <w:bCs/>
                <w:sz w:val="20"/>
                <w:szCs w:val="20"/>
                <w:lang w:val="uk-ua" w:eastAsia="uk-ua"/>
              </w:rPr>
            </w:r>
          </w:p>
        </w:tc>
      </w:tr>
      <w:tr>
        <w:trPr>
          <w:cantSplit w:val="0"/>
          <w:trHeight w:val="0" w:hRule="auto"/>
        </w:trPr>
        <w:tc>
          <w:tcPr>
            <w:tcW w:w="6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1</w:t>
            </w:r>
          </w:p>
        </w:tc>
        <w:tc>
          <w:tcPr>
            <w:tcW w:w="4326" w:type="dxa"/>
            <w:vAlign w:val="center"/>
            <w:tcMar>
              <w:top w:w="15" w:type="dxa"/>
              <w:left w:w="57"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en-us" w:eastAsia="uk-ua"/>
              </w:rPr>
              <w:t xml:space="preserve">                                        </w:t>
            </w:r>
            <w:r>
              <w:rPr>
                <w:rFonts w:ascii="Times New Roman" w:hAnsi="Times New Roman" w:eastAsia="Times New Roman"/>
                <w:b/>
                <w:bCs/>
                <w:sz w:val="20"/>
                <w:szCs w:val="20"/>
                <w:lang w:val="uk-ua" w:eastAsia="uk-ua"/>
              </w:rPr>
              <w:t>2</w:t>
            </w:r>
            <w:r>
              <w:rPr>
                <w:rFonts w:ascii="Times New Roman" w:hAnsi="Times New Roman" w:eastAsia="Times New Roman"/>
                <w:b/>
                <w:bCs/>
                <w:sz w:val="20"/>
                <w:szCs w:val="20"/>
                <w:lang w:val="uk-ua" w:eastAsia="uk-ua"/>
              </w:rPr>
            </w:r>
          </w:p>
        </w:tc>
        <w:tc>
          <w:tcPr>
            <w:tcW w:w="173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3</w:t>
            </w:r>
          </w:p>
        </w:tc>
        <w:tc>
          <w:tcPr>
            <w:tcW w:w="173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4</w:t>
            </w:r>
          </w:p>
        </w:tc>
        <w:tc>
          <w:tcPr>
            <w:tcW w:w="173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5</w:t>
            </w:r>
          </w:p>
        </w:tc>
        <w:tc>
          <w:tcPr>
            <w:tcW w:w="1777" w:type="dxa"/>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6</w:t>
            </w:r>
          </w:p>
        </w:tc>
        <w:tc>
          <w:tcPr>
            <w:tcW w:w="1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7</w:t>
            </w:r>
          </w:p>
        </w:tc>
        <w:tc>
          <w:tcPr>
            <w:tcW w:w="1778"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8</w:t>
            </w:r>
          </w:p>
        </w:tc>
      </w:tr>
      <w:tr>
        <w:trPr>
          <w:cantSplit w:val="0"/>
          <w:trHeight w:val="0" w:hRule="auto"/>
        </w:trPr>
        <w:tc>
          <w:tcPr>
            <w:tcW w:w="6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1</w:t>
            </w:r>
          </w:p>
        </w:tc>
        <w:tc>
          <w:tcPr>
            <w:tcW w:w="4326" w:type="dxa"/>
            <w:vAlign w:val="center"/>
            <w:tcMar>
              <w:top w:w="15" w:type="dxa"/>
              <w:left w:w="57"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Вогнегасник шахт.ВП-8</w:t>
            </w:r>
          </w:p>
        </w:tc>
        <w:tc>
          <w:tcPr>
            <w:tcW w:w="173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3666</w:t>
            </w:r>
          </w:p>
        </w:tc>
        <w:tc>
          <w:tcPr>
            <w:tcW w:w="173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 xml:space="preserve">         7184.30</w:t>
            </w:r>
          </w:p>
        </w:tc>
        <w:tc>
          <w:tcPr>
            <w:tcW w:w="173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78.8</w:t>
            </w:r>
          </w:p>
        </w:tc>
        <w:tc>
          <w:tcPr>
            <w:tcW w:w="1777" w:type="dxa"/>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3666</w:t>
            </w:r>
          </w:p>
        </w:tc>
        <w:tc>
          <w:tcPr>
            <w:tcW w:w="1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 xml:space="preserve">        86493.00</w:t>
            </w:r>
          </w:p>
        </w:tc>
        <w:tc>
          <w:tcPr>
            <w:tcW w:w="1778"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75.7</w:t>
            </w:r>
          </w:p>
        </w:tc>
      </w:tr>
      <w:tr>
        <w:trPr>
          <w:cantSplit w:val="0"/>
          <w:trHeight w:val="0" w:hRule="auto"/>
        </w:trPr>
        <w:tc>
          <w:tcPr>
            <w:tcW w:w="634"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2</w:t>
            </w:r>
          </w:p>
        </w:tc>
        <w:tc>
          <w:tcPr>
            <w:tcW w:w="4326" w:type="dxa"/>
            <w:vAlign w:val="center"/>
            <w:tcMar>
              <w:top w:w="15" w:type="dxa"/>
              <w:left w:w="57"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Вогнегасник шахт.ВВШ-9</w:t>
            </w:r>
          </w:p>
        </w:tc>
        <w:tc>
          <w:tcPr>
            <w:tcW w:w="1735"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1683</w:t>
            </w:r>
          </w:p>
        </w:tc>
        <w:tc>
          <w:tcPr>
            <w:tcW w:w="173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 xml:space="preserve">         1935.00</w:t>
            </w:r>
          </w:p>
        </w:tc>
        <w:tc>
          <w:tcPr>
            <w:tcW w:w="1736"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21.2</w:t>
            </w:r>
          </w:p>
        </w:tc>
        <w:tc>
          <w:tcPr>
            <w:tcW w:w="1777" w:type="dxa"/>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1683</w:t>
            </w:r>
          </w:p>
        </w:tc>
        <w:tc>
          <w:tcPr>
            <w:tcW w:w="182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 xml:space="preserve">         2760.30</w:t>
            </w:r>
          </w:p>
        </w:tc>
        <w:tc>
          <w:tcPr>
            <w:tcW w:w="1778"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24.3</w:t>
            </w:r>
          </w:p>
        </w:tc>
      </w:tr>
    </w:tbl>
    <w:p>
      <w:pPr>
        <w:spacing w:after="0" w:line="240" w:lineRule="auto"/>
        <w:jc w:val="center"/>
        <w:rPr>
          <w:rFonts w:ascii="Times New Roman" w:hAnsi="Times New Roman" w:eastAsia="Times New Roman"/>
          <w:sz w:val="24"/>
          <w:szCs w:val="24"/>
          <w:lang w:val="uk-ua" w:eastAsia="uk-ua"/>
        </w:rPr>
      </w:pPr>
      <w:r>
        <w:rPr>
          <w:rFonts w:ascii="Times New Roman" w:hAnsi="Times New Roman" w:eastAsia="Times New Roman"/>
          <w:sz w:val="24"/>
          <w:szCs w:val="24"/>
          <w:lang w:val="uk-ua"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16"/>
          <w:footerReference w:type="default" r:id="rId17"/>
          <w:type w:val="nextPage"/>
          <w:pgSz w:h="11906" w:w="16838" w:orient="landscape"/>
          <w:pgMar w:left="363" w:top="567" w:right="363" w:bottom="567"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spacing w:after="0" w:line="240" w:lineRule="auto"/>
        <w:jc w:val="center"/>
        <w:rPr>
          <w:rFonts w:ascii="Times New Roman" w:hAnsi="Times New Roman" w:eastAsia="Times New Roman"/>
          <w:b/>
          <w:sz w:val="24"/>
          <w:szCs w:val="24"/>
          <w:lang w:val="uk-ua" w:eastAsia="uk-ua"/>
        </w:rPr>
      </w:pPr>
      <w:r>
        <w:rPr>
          <w:rFonts w:ascii="Times New Roman" w:hAnsi="Times New Roman" w:eastAsia="Times New Roman"/>
          <w:b/>
          <w:sz w:val="24"/>
          <w:szCs w:val="24"/>
          <w:lang w:eastAsia="uk-ua"/>
        </w:rPr>
        <w:t>Інформація про собівартість реалізованої продукції</w:t>
      </w:r>
      <w:r>
        <w:rPr>
          <w:rFonts w:ascii="Times New Roman" w:hAnsi="Times New Roman" w:eastAsia="Times New Roman"/>
          <w:b/>
          <w:sz w:val="24"/>
          <w:szCs w:val="24"/>
          <w:lang w:val="uk-ua" w:eastAsia="uk-ua"/>
        </w:rPr>
      </w:r>
    </w:p>
    <w:tbl>
      <w:tblPr>
        <w:tblStyle w:val="NormalTable"/>
        <w:name w:val="Таблица15"/>
        <w:tabOrder w:val="0"/>
        <w:jc w:val="left"/>
        <w:tblInd w:w="15" w:type="dxa"/>
        <w:tblW w:w="10080" w:type="dxa"/>
        <w:tblLook w:val="0000" w:firstRow="0" w:lastRow="0" w:firstColumn="0" w:lastColumn="0" w:noHBand="0" w:noVBand="0"/>
      </w:tblPr>
      <w:tblGrid>
        <w:gridCol w:w="540"/>
        <w:gridCol w:w="7299"/>
        <w:gridCol w:w="2241"/>
      </w:tblGrid>
      <w:tr>
        <w:trPr>
          <w:cantSplit w:val="0"/>
          <w:trHeight w:val="0" w:hRule="auto"/>
        </w:trPr>
        <w:tc>
          <w:tcPr>
            <w:tcW w:w="540"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 з/п</w:t>
            </w:r>
          </w:p>
        </w:tc>
        <w:tc>
          <w:tcPr>
            <w:tcW w:w="7299"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Склад витрат</w:t>
            </w:r>
          </w:p>
        </w:tc>
        <w:tc>
          <w:tcPr>
            <w:tcW w:w="2241"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Відсоток від загальної собівартості реалізованої продукції (у відсотках)</w:t>
            </w:r>
          </w:p>
        </w:tc>
      </w:tr>
      <w:tr>
        <w:trPr>
          <w:cantSplit w:val="0"/>
          <w:trHeight w:val="292" w:hRule="atLeast"/>
        </w:trPr>
        <w:tc>
          <w:tcPr>
            <w:tcW w:w="540"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1</w:t>
            </w:r>
          </w:p>
        </w:tc>
        <w:tc>
          <w:tcPr>
            <w:tcW w:w="7299" w:type="dxa"/>
            <w:vAlign w:val="center"/>
            <w:tcMar>
              <w:top w:w="15" w:type="dxa"/>
              <w:left w:w="8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en-us" w:eastAsia="uk-ua"/>
              </w:rPr>
              <w:t xml:space="preserve">                                                                       </w:t>
            </w:r>
            <w:r>
              <w:rPr>
                <w:rFonts w:ascii="Times New Roman" w:hAnsi="Times New Roman" w:eastAsia="Times New Roman"/>
                <w:b/>
                <w:bCs/>
                <w:sz w:val="20"/>
                <w:szCs w:val="20"/>
                <w:lang w:val="uk-ua" w:eastAsia="uk-ua"/>
              </w:rPr>
              <w:t>2</w:t>
            </w:r>
            <w:r>
              <w:rPr>
                <w:rFonts w:ascii="Times New Roman" w:hAnsi="Times New Roman" w:eastAsia="Times New Roman"/>
                <w:b/>
                <w:bCs/>
                <w:sz w:val="20"/>
                <w:szCs w:val="20"/>
                <w:lang w:val="uk-ua" w:eastAsia="uk-ua"/>
              </w:rPr>
            </w:r>
          </w:p>
        </w:tc>
        <w:tc>
          <w:tcPr>
            <w:tcW w:w="2241"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3</w:t>
            </w:r>
          </w:p>
        </w:tc>
      </w:tr>
      <w:tr>
        <w:trPr>
          <w:cantSplit w:val="0"/>
          <w:trHeight w:val="292" w:hRule="atLeast"/>
        </w:trPr>
        <w:tc>
          <w:tcPr>
            <w:tcW w:w="540"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1</w:t>
            </w:r>
          </w:p>
        </w:tc>
        <w:tc>
          <w:tcPr>
            <w:tcW w:w="7299" w:type="dxa"/>
            <w:vAlign w:val="center"/>
            <w:tcMar>
              <w:top w:w="15" w:type="dxa"/>
              <w:left w:w="8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Матеріальні витрати</w:t>
            </w:r>
          </w:p>
        </w:tc>
        <w:tc>
          <w:tcPr>
            <w:tcW w:w="2241"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100.00</w:t>
            </w:r>
          </w:p>
        </w:tc>
      </w:tr>
      <w:tr>
        <w:trPr>
          <w:cantSplit w:val="0"/>
          <w:trHeight w:val="292" w:hRule="atLeast"/>
        </w:trPr>
        <w:tc>
          <w:tcPr>
            <w:tcW w:w="540"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2</w:t>
            </w:r>
          </w:p>
        </w:tc>
        <w:tc>
          <w:tcPr>
            <w:tcW w:w="7299" w:type="dxa"/>
            <w:vAlign w:val="center"/>
            <w:tcMar>
              <w:top w:w="15" w:type="dxa"/>
              <w:left w:w="8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Витрати на оплату праці</w:t>
            </w:r>
          </w:p>
        </w:tc>
        <w:tc>
          <w:tcPr>
            <w:tcW w:w="2241"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 xml:space="preserve">  0.00</w:t>
            </w:r>
          </w:p>
        </w:tc>
      </w:tr>
      <w:tr>
        <w:trPr>
          <w:cantSplit w:val="0"/>
          <w:trHeight w:val="292" w:hRule="atLeast"/>
        </w:trPr>
        <w:tc>
          <w:tcPr>
            <w:tcW w:w="540"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3</w:t>
            </w:r>
          </w:p>
        </w:tc>
        <w:tc>
          <w:tcPr>
            <w:tcW w:w="7299" w:type="dxa"/>
            <w:vAlign w:val="center"/>
            <w:tcMar>
              <w:top w:w="15" w:type="dxa"/>
              <w:left w:w="8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Cs/>
                <w:sz w:val="20"/>
                <w:szCs w:val="20"/>
                <w:lang w:val="en-us" w:eastAsia="uk-ua"/>
              </w:rPr>
            </w:pPr>
            <w:r>
              <w:rPr>
                <w:rFonts w:ascii="Times New Roman" w:hAnsi="Times New Roman" w:eastAsia="Times New Roman"/>
                <w:bCs/>
                <w:sz w:val="20"/>
                <w:szCs w:val="20"/>
                <w:lang w:val="en-us" w:eastAsia="uk-ua"/>
              </w:rPr>
              <w:t>Відрахування на соціальні заходи</w:t>
            </w:r>
          </w:p>
        </w:tc>
        <w:tc>
          <w:tcPr>
            <w:tcW w:w="2241"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 xml:space="preserve">  0.00</w:t>
            </w:r>
          </w:p>
        </w:tc>
      </w:tr>
    </w:tbl>
    <w:p>
      <w:pPr>
        <w:spacing w:after="0" w:line="240" w:lineRule="auto"/>
        <w:rPr>
          <w:rFonts w:ascii="Times New Roman" w:hAnsi="Times New Roman" w:eastAsia="Times New Roman"/>
          <w:sz w:val="24"/>
          <w:szCs w:val="24"/>
          <w:lang w:val="uk-ua" w:eastAsia="uk-ua"/>
        </w:rPr>
      </w:pPr>
      <w:r>
        <w:rPr>
          <w:rFonts w:ascii="Times New Roman" w:hAnsi="Times New Roman" w:eastAsia="Times New Roman"/>
          <w:sz w:val="24"/>
          <w:szCs w:val="24"/>
          <w:lang w:val="uk-ua" w:eastAsia="uk-ua"/>
        </w:rPr>
      </w:r>
    </w:p>
    <w:tbl>
      <w:tblPr>
        <w:tblStyle w:val="NormalTable"/>
        <w:name w:val="Таблица16"/>
        <w:tabOrder w:val="0"/>
        <w:jc w:val="left"/>
        <w:tblInd w:w="60" w:type="dxa"/>
        <w:tblW w:w="9720" w:type="dxa"/>
        <w:tblLook w:val="0000" w:firstRow="0" w:lastRow="0" w:firstColumn="0" w:lastColumn="0" w:noHBand="0" w:noVBand="0"/>
      </w:tblPr>
      <w:tblGrid>
        <w:gridCol w:w="9720"/>
      </w:tblGrid>
      <w:tr>
        <w:trPr>
          <w:cantSplit w:val="0"/>
          <w:trHeight w:val="0" w:hRule="auto"/>
        </w:trPr>
        <w:tc>
          <w:tcPr>
            <w:tcW w:w="9720" w:type="dxa"/>
            <w:vAlign w:val="center"/>
            <w:tcMar>
              <w:top w:w="60" w:type="dxa"/>
              <w:left w:w="60" w:type="dxa"/>
              <w:bottom w:w="60" w:type="dxa"/>
              <w:right w:w="60" w:type="dxa"/>
            </w:tcMar>
            <w:tmTcPr id="1759223788" protected="0"/>
          </w:tcPr>
          <w:p>
            <w:pPr>
              <w:ind w:left="-210"/>
              <w:spacing w:after="0" w:line="240" w:lineRule="auto"/>
              <w:jc w:val="center"/>
              <w:rPr>
                <w:rFonts w:ascii="Times New Roman" w:hAnsi="Times New Roman" w:eastAsia="Times New Roman"/>
                <w:b/>
                <w:bCs/>
                <w:sz w:val="24"/>
                <w:szCs w:val="24"/>
                <w:lang w:val="uk-ua" w:eastAsia="uk-ua"/>
              </w:rPr>
            </w:pPr>
            <w:r>
              <w:rPr>
                <w:rFonts w:ascii="Times New Roman" w:hAnsi="Times New Roman" w:eastAsia="Times New Roman"/>
                <w:b/>
                <w:color w:val="000000"/>
                <w:sz w:val="24"/>
                <w:szCs w:val="24"/>
                <w:lang w:val="uk-ua" w:eastAsia="uk-ua"/>
              </w:rPr>
              <w:t>Інформація про осіб, послугами яких користується емітент</w:t>
            </w:r>
            <w:r>
              <w:rPr>
                <w:rFonts w:ascii="Times New Roman" w:hAnsi="Times New Roman" w:eastAsia="Times New Roman"/>
                <w:b/>
                <w:bCs/>
                <w:sz w:val="24"/>
                <w:szCs w:val="24"/>
                <w:lang w:val="uk-ua" w:eastAsia="uk-ua"/>
              </w:rPr>
            </w:r>
          </w:p>
        </w:tc>
      </w:tr>
    </w:tbl>
    <w:p>
      <w:pPr>
        <w:spacing w:after="0" w:line="240" w:lineRule="auto"/>
        <w:rPr>
          <w:rFonts w:ascii="Times New Roman" w:hAnsi="Times New Roman" w:eastAsia="Times New Roman"/>
          <w:sz w:val="24"/>
          <w:szCs w:val="24"/>
          <w:lang w:val="uk-ua" w:eastAsia="uk-ua"/>
        </w:rPr>
      </w:pPr>
      <w:r>
        <w:rPr>
          <w:rFonts w:ascii="Times New Roman" w:hAnsi="Times New Roman" w:eastAsia="Times New Roman"/>
          <w:sz w:val="24"/>
          <w:szCs w:val="24"/>
          <w:lang w:val="uk-ua" w:eastAsia="uk-ua"/>
        </w:rPr>
      </w:r>
    </w:p>
    <w:tbl>
      <w:tblPr>
        <w:tblStyle w:val="TableGrid"/>
        <w:name w:val="Таблица17"/>
        <w:tabOrder w:val="0"/>
        <w:jc w:val="left"/>
        <w:tblInd w:w="0" w:type="dxa"/>
        <w:tblW w:w="9912" w:type="dxa"/>
        <w:tblLook w:val="04A0" w:firstRow="1" w:lastRow="0" w:firstColumn="1" w:lastColumn="0" w:noHBand="0" w:noVBand="1"/>
      </w:tblPr>
      <w:tblGrid>
        <w:gridCol w:w="3332"/>
        <w:gridCol w:w="6580"/>
      </w:tblGrid>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 xml:space="preserve">Повне найменування або ім'я </w:t>
            </w:r>
          </w:p>
        </w:tc>
        <w:tc>
          <w:tcPr>
            <w:tcW w:w="6580" w:type="dxa"/>
            <w:vAlign w:val="center"/>
            <w:tmTcPr id="1759223788" protected="0"/>
          </w:tcPr>
          <w:p>
            <w:pPr>
              <w:rPr>
                <w:szCs w:val="24"/>
                <w:lang w:val="uk-ua" w:eastAsia="uk-ua"/>
              </w:rPr>
            </w:pPr>
            <w:r>
              <w:rPr>
                <w:szCs w:val="24"/>
                <w:lang w:val="uk-ua" w:eastAsia="uk-ua"/>
              </w:rPr>
              <w:t>Публічне акціонерне товариство "Національний депозитарій України"</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РНОКПП</w:t>
            </w:r>
          </w:p>
        </w:tc>
        <w:tc>
          <w:tcPr>
            <w:tcW w:w="6580" w:type="dxa"/>
            <w:vAlign w:val="center"/>
            <w:tmTcPr id="1759223788" protected="0"/>
          </w:tcPr>
          <w:p>
            <w:pPr>
              <w:rPr>
                <w:szCs w:val="24"/>
                <w:lang w:val="uk-ua" w:eastAsia="uk-ua"/>
              </w:rPr>
            </w:pPr>
            <w:r>
              <w:rPr>
                <w:szCs w:val="24"/>
                <w:lang w:val="uk-ua" w:eastAsia="uk-ua"/>
              </w:rPr>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УНЗР</w:t>
            </w:r>
          </w:p>
        </w:tc>
        <w:tc>
          <w:tcPr>
            <w:tcW w:w="6580" w:type="dxa"/>
            <w:vAlign w:val="center"/>
            <w:tmTcPr id="1759223788" protected="0"/>
          </w:tcPr>
          <w:p>
            <w:pPr>
              <w:rPr>
                <w:szCs w:val="24"/>
                <w:lang w:val="uk-ua" w:eastAsia="uk-ua"/>
              </w:rPr>
            </w:pPr>
            <w:r>
              <w:rPr>
                <w:szCs w:val="24"/>
                <w:lang w:val="uk-ua" w:eastAsia="uk-ua"/>
              </w:rPr>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Організаційно-правова форма</w:t>
            </w:r>
          </w:p>
        </w:tc>
        <w:tc>
          <w:tcPr>
            <w:tcW w:w="6580" w:type="dxa"/>
            <w:vAlign w:val="center"/>
            <w:tmTcPr id="1759223788" protected="0"/>
          </w:tcPr>
          <w:p>
            <w:pPr>
              <w:rPr>
                <w:szCs w:val="24"/>
                <w:lang w:val="uk-ua" w:eastAsia="uk-ua"/>
              </w:rPr>
            </w:pPr>
            <w:r>
              <w:rPr>
                <w:szCs w:val="24"/>
                <w:lang w:val="uk-ua" w:eastAsia="uk-ua"/>
              </w:rPr>
              <w:t>Публiчне акцiонерне товариство</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Ідентифікаційний код юридичної особи</w:t>
            </w:r>
          </w:p>
        </w:tc>
        <w:tc>
          <w:tcPr>
            <w:tcW w:w="6580" w:type="dxa"/>
            <w:vAlign w:val="center"/>
            <w:tmTcPr id="1759223788" protected="0"/>
          </w:tcPr>
          <w:p>
            <w:pPr>
              <w:rPr>
                <w:szCs w:val="24"/>
                <w:lang w:val="uk-ua" w:eastAsia="uk-ua"/>
              </w:rPr>
            </w:pPr>
            <w:r>
              <w:rPr>
                <w:szCs w:val="24"/>
                <w:lang w:val="uk-ua" w:eastAsia="uk-ua"/>
              </w:rPr>
              <w:t>30370711</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Місцезнаходження</w:t>
            </w:r>
          </w:p>
        </w:tc>
        <w:tc>
          <w:tcPr>
            <w:tcW w:w="6580" w:type="dxa"/>
            <w:vAlign w:val="center"/>
            <w:tmTcPr id="1759223788" protected="0"/>
          </w:tcPr>
          <w:p>
            <w:pPr>
              <w:rPr>
                <w:szCs w:val="24"/>
                <w:lang w:val="uk-ua" w:eastAsia="uk-ua"/>
              </w:rPr>
            </w:pPr>
            <w:r>
              <w:rPr>
                <w:szCs w:val="24"/>
                <w:lang w:val="uk-ua" w:eastAsia="uk-ua"/>
              </w:rPr>
              <w:t>04107 УКРАЇНА  д/н м.Київ вул.Тропініна, 7-г</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Номер ліцензії або іншого документа на цей вид діяльності</w:t>
            </w:r>
          </w:p>
        </w:tc>
        <w:tc>
          <w:tcPr>
            <w:tcW w:w="6580" w:type="dxa"/>
            <w:vAlign w:val="center"/>
            <w:tmTcPr id="1759223788" protected="0"/>
          </w:tcPr>
          <w:p>
            <w:pPr>
              <w:rPr>
                <w:szCs w:val="24"/>
                <w:lang w:val="uk-ua" w:eastAsia="uk-ua"/>
              </w:rPr>
            </w:pPr>
            <w:r>
              <w:rPr>
                <w:szCs w:val="24"/>
                <w:lang w:val="uk-ua" w:eastAsia="uk-ua"/>
              </w:rPr>
              <w:t>Рішення № 2092</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Назва державного органу, що видав ліцензію або інший документ</w:t>
            </w:r>
          </w:p>
        </w:tc>
        <w:tc>
          <w:tcPr>
            <w:tcW w:w="6580" w:type="dxa"/>
            <w:vAlign w:val="center"/>
            <w:tmTcPr id="1759223788" protected="0"/>
          </w:tcPr>
          <w:p>
            <w:pPr>
              <w:rPr>
                <w:szCs w:val="24"/>
                <w:lang w:val="uk-ua" w:eastAsia="uk-ua"/>
              </w:rPr>
            </w:pPr>
            <w:r>
              <w:rPr>
                <w:szCs w:val="24"/>
                <w:lang w:val="uk-ua" w:eastAsia="uk-ua"/>
              </w:rPr>
              <w:t>НКЦПФР</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Дата видачі ліцензії або іншого документа</w:t>
            </w:r>
          </w:p>
        </w:tc>
        <w:tc>
          <w:tcPr>
            <w:tcW w:w="6580" w:type="dxa"/>
            <w:vAlign w:val="center"/>
            <w:tmTcPr id="1759223788" protected="0"/>
          </w:tcPr>
          <w:p>
            <w:pPr>
              <w:rPr>
                <w:szCs w:val="24"/>
                <w:lang w:val="uk-ua" w:eastAsia="uk-ua"/>
              </w:rPr>
            </w:pPr>
            <w:r>
              <w:rPr>
                <w:szCs w:val="24"/>
                <w:lang w:val="uk-ua" w:eastAsia="uk-ua"/>
              </w:rPr>
              <w:t>01.10.2013</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Міжміський код та телефон</w:t>
            </w:r>
          </w:p>
        </w:tc>
        <w:tc>
          <w:tcPr>
            <w:tcW w:w="6580" w:type="dxa"/>
            <w:vAlign w:val="center"/>
            <w:tmTcPr id="1759223788" protected="0"/>
          </w:tcPr>
          <w:p>
            <w:pPr>
              <w:rPr>
                <w:szCs w:val="24"/>
                <w:lang w:val="uk-ua" w:eastAsia="uk-ua"/>
              </w:rPr>
            </w:pPr>
            <w:r>
              <w:rPr>
                <w:szCs w:val="24"/>
                <w:lang w:val="uk-ua" w:eastAsia="uk-ua"/>
              </w:rPr>
              <w:t>(044) 591-04-00</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Основні види діяльності із зазначенням їх найменування та коду за КВЕД</w:t>
            </w:r>
          </w:p>
        </w:tc>
        <w:tc>
          <w:tcPr>
            <w:tcW w:w="6580" w:type="dxa"/>
            <w:vAlign w:val="center"/>
            <w:tmTcPr id="1759223788" protected="0"/>
          </w:tcPr>
          <w:p>
            <w:pPr>
              <w:rPr>
                <w:szCs w:val="24"/>
                <w:lang w:val="uk-ua" w:eastAsia="uk-ua"/>
              </w:rPr>
            </w:pPr>
            <w:r>
              <w:rPr>
                <w:szCs w:val="24"/>
                <w:lang w:val="uk-ua" w:eastAsia="uk-ua"/>
              </w:rPr>
              <w:t>63.11   ОБРОБЛЕННЯ ДАНИХ, РОЗМІЩЕННЯ ІНФОРМАЦІЇ НА ВЕБ-ВУЗЛАХ І ПОВ'ЯЗАНА З НИМИ ДІЯЛЬНІСТЬ</w:t>
            </w:r>
          </w:p>
          <w:p>
            <w:pPr>
              <w:rPr>
                <w:szCs w:val="24"/>
                <w:lang w:val="uk-ua" w:eastAsia="uk-ua"/>
              </w:rPr>
            </w:pPr>
            <w:r>
              <w:rPr>
                <w:szCs w:val="24"/>
                <w:lang w:val="uk-ua" w:eastAsia="uk-ua"/>
              </w:rPr>
              <w:t>18.20   ТИРАЖУВАННЯ ЗВУКО-, ВІДЕОЗАПИСІВ І ПРОГРАМНОГО ЗАБЕЗПЕЧЕННЯ</w:t>
            </w:r>
          </w:p>
          <w:p>
            <w:pPr>
              <w:rPr>
                <w:szCs w:val="24"/>
                <w:lang w:val="uk-ua" w:eastAsia="uk-ua"/>
              </w:rPr>
            </w:pPr>
            <w:r>
              <w:rPr>
                <w:szCs w:val="24"/>
                <w:lang w:val="uk-ua" w:eastAsia="uk-ua"/>
              </w:rPr>
              <w:t>62.01   КОМП'ЮТЕРНЕ ПРОГРАМУВАННЯ</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Вид послуг, які надає особа</w:t>
            </w:r>
          </w:p>
        </w:tc>
        <w:tc>
          <w:tcPr>
            <w:tcW w:w="6580" w:type="dxa"/>
            <w:vAlign w:val="center"/>
            <w:tmTcPr id="1759223788" protected="0"/>
          </w:tcPr>
          <w:p>
            <w:pPr>
              <w:rPr>
                <w:szCs w:val="24"/>
                <w:lang w:val="uk-ua" w:eastAsia="uk-ua"/>
              </w:rPr>
            </w:pPr>
            <w:r>
              <w:rPr>
                <w:szCs w:val="24"/>
                <w:lang w:val="uk-ua" w:eastAsia="uk-ua"/>
              </w:rPr>
              <w:t>Депозитарна діяльність центрального депозитарію</w:t>
            </w:r>
          </w:p>
        </w:tc>
      </w:tr>
    </w:tbl>
    <w:p>
      <w:pPr>
        <w:spacing w:after="0" w:line="240" w:lineRule="auto"/>
        <w:rPr>
          <w:rFonts w:ascii="Times New Roman" w:hAnsi="Times New Roman" w:eastAsia="Times New Roman"/>
          <w:sz w:val="20"/>
          <w:szCs w:val="24"/>
          <w:lang w:val="uk-ua" w:eastAsia="uk-ua"/>
        </w:rPr>
      </w:pPr>
      <w:r>
        <w:rPr>
          <w:rFonts w:ascii="Times New Roman" w:hAnsi="Times New Roman" w:eastAsia="Times New Roman"/>
          <w:sz w:val="20"/>
          <w:szCs w:val="24"/>
          <w:lang w:val="uk-ua" w:eastAsia="uk-ua"/>
        </w:rPr>
      </w:r>
    </w:p>
    <w:p>
      <w:pPr>
        <w:spacing w:after="0" w:line="240" w:lineRule="auto"/>
        <w:rPr>
          <w:rFonts w:ascii="Times New Roman" w:hAnsi="Times New Roman" w:eastAsia="Times New Roman"/>
          <w:sz w:val="20"/>
          <w:szCs w:val="24"/>
          <w:lang w:val="uk-ua" w:eastAsia="uk-ua"/>
        </w:rPr>
      </w:pPr>
      <w:r>
        <w:rPr>
          <w:rFonts w:ascii="Times New Roman" w:hAnsi="Times New Roman" w:eastAsia="Times New Roman"/>
          <w:sz w:val="20"/>
          <w:szCs w:val="24"/>
          <w:lang w:val="uk-ua" w:eastAsia="uk-ua"/>
        </w:rPr>
      </w:r>
    </w:p>
    <w:tbl>
      <w:tblPr>
        <w:tblStyle w:val="TableGrid"/>
        <w:name w:val="Таблица18"/>
        <w:tabOrder w:val="0"/>
        <w:jc w:val="left"/>
        <w:tblInd w:w="0" w:type="dxa"/>
        <w:tblW w:w="9912" w:type="dxa"/>
        <w:tblLook w:val="04A0" w:firstRow="1" w:lastRow="0" w:firstColumn="1" w:lastColumn="0" w:noHBand="0" w:noVBand="1"/>
      </w:tblPr>
      <w:tblGrid>
        <w:gridCol w:w="3332"/>
        <w:gridCol w:w="6580"/>
      </w:tblGrid>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 xml:space="preserve">Повне найменування або ім'я </w:t>
            </w:r>
          </w:p>
        </w:tc>
        <w:tc>
          <w:tcPr>
            <w:tcW w:w="6580" w:type="dxa"/>
            <w:vAlign w:val="center"/>
            <w:tmTcPr id="1759223788" protected="0"/>
          </w:tcPr>
          <w:p>
            <w:pPr>
              <w:rPr>
                <w:szCs w:val="24"/>
                <w:lang w:val="uk-ua" w:eastAsia="uk-ua"/>
              </w:rPr>
            </w:pPr>
            <w:r>
              <w:rPr>
                <w:szCs w:val="24"/>
                <w:lang w:val="uk-ua" w:eastAsia="uk-ua"/>
              </w:rPr>
              <w:t>ДУ "Агентство з розвитку інфраструктури фондового ринку України"</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РНОКПП</w:t>
            </w:r>
          </w:p>
        </w:tc>
        <w:tc>
          <w:tcPr>
            <w:tcW w:w="6580" w:type="dxa"/>
            <w:vAlign w:val="center"/>
            <w:tmTcPr id="1759223788" protected="0"/>
          </w:tcPr>
          <w:p>
            <w:pPr>
              <w:rPr>
                <w:szCs w:val="24"/>
                <w:lang w:val="uk-ua" w:eastAsia="uk-ua"/>
              </w:rPr>
            </w:pPr>
            <w:r>
              <w:rPr>
                <w:szCs w:val="24"/>
                <w:lang w:val="uk-ua" w:eastAsia="uk-ua"/>
              </w:rPr>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УНЗР</w:t>
            </w:r>
          </w:p>
        </w:tc>
        <w:tc>
          <w:tcPr>
            <w:tcW w:w="6580" w:type="dxa"/>
            <w:vAlign w:val="center"/>
            <w:tmTcPr id="1759223788" protected="0"/>
          </w:tcPr>
          <w:p>
            <w:pPr>
              <w:rPr>
                <w:szCs w:val="24"/>
                <w:lang w:val="uk-ua" w:eastAsia="uk-ua"/>
              </w:rPr>
            </w:pPr>
            <w:r>
              <w:rPr>
                <w:szCs w:val="24"/>
                <w:lang w:val="uk-ua" w:eastAsia="uk-ua"/>
              </w:rPr>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Організаційно-правова форма</w:t>
            </w:r>
          </w:p>
        </w:tc>
        <w:tc>
          <w:tcPr>
            <w:tcW w:w="6580" w:type="dxa"/>
            <w:vAlign w:val="center"/>
            <w:tmTcPr id="1759223788" protected="0"/>
          </w:tcPr>
          <w:p>
            <w:pPr>
              <w:rPr>
                <w:szCs w:val="24"/>
                <w:lang w:val="uk-ua" w:eastAsia="uk-ua"/>
              </w:rPr>
            </w:pPr>
            <w:r>
              <w:rPr>
                <w:szCs w:val="24"/>
                <w:lang w:val="uk-ua" w:eastAsia="uk-ua"/>
              </w:rPr>
              <w:t>Державна органiзацiя (установа, заклад)</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Ідентифікаційний код юридичної особи</w:t>
            </w:r>
          </w:p>
        </w:tc>
        <w:tc>
          <w:tcPr>
            <w:tcW w:w="6580" w:type="dxa"/>
            <w:vAlign w:val="center"/>
            <w:tmTcPr id="1759223788" protected="0"/>
          </w:tcPr>
          <w:p>
            <w:pPr>
              <w:rPr>
                <w:szCs w:val="24"/>
                <w:lang w:val="uk-ua" w:eastAsia="uk-ua"/>
              </w:rPr>
            </w:pPr>
            <w:r>
              <w:rPr>
                <w:szCs w:val="24"/>
                <w:lang w:val="uk-ua" w:eastAsia="uk-ua"/>
              </w:rPr>
              <w:t>21676262</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Місцезнаходження</w:t>
            </w:r>
          </w:p>
        </w:tc>
        <w:tc>
          <w:tcPr>
            <w:tcW w:w="6580" w:type="dxa"/>
            <w:vAlign w:val="center"/>
            <w:tmTcPr id="1759223788" protected="0"/>
          </w:tcPr>
          <w:p>
            <w:pPr>
              <w:rPr>
                <w:szCs w:val="24"/>
                <w:lang w:val="uk-ua" w:eastAsia="uk-ua"/>
              </w:rPr>
            </w:pPr>
            <w:r>
              <w:rPr>
                <w:szCs w:val="24"/>
                <w:lang w:val="uk-ua" w:eastAsia="uk-ua"/>
              </w:rPr>
              <w:t>03150 УКРАЇНА 80000 д/н м.Київ вул.Антоновича, 51, оф. 1206</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Номер ліцензії або іншого документа на цей вид діяльності</w:t>
            </w:r>
          </w:p>
        </w:tc>
        <w:tc>
          <w:tcPr>
            <w:tcW w:w="6580" w:type="dxa"/>
            <w:vAlign w:val="center"/>
            <w:tmTcPr id="1759223788" protected="0"/>
          </w:tcPr>
          <w:p>
            <w:pPr>
              <w:rPr>
                <w:szCs w:val="24"/>
                <w:lang w:val="uk-ua" w:eastAsia="uk-ua"/>
              </w:rPr>
            </w:pPr>
            <w:r>
              <w:rPr>
                <w:szCs w:val="24"/>
                <w:lang w:val="uk-ua" w:eastAsia="uk-ua"/>
              </w:rPr>
              <w:t>DR/00002/ARM</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Назва державного органу, що видав ліцензію або інший документ</w:t>
            </w:r>
          </w:p>
        </w:tc>
        <w:tc>
          <w:tcPr>
            <w:tcW w:w="6580" w:type="dxa"/>
            <w:vAlign w:val="center"/>
            <w:tmTcPr id="1759223788" protected="0"/>
          </w:tcPr>
          <w:p>
            <w:pPr>
              <w:rPr>
                <w:szCs w:val="24"/>
                <w:lang w:val="uk-ua" w:eastAsia="uk-ua"/>
              </w:rPr>
            </w:pPr>
            <w:r>
              <w:rPr>
                <w:szCs w:val="24"/>
                <w:lang w:val="uk-ua" w:eastAsia="uk-ua"/>
              </w:rPr>
              <w:t>НКЦПФР</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Дата видачі ліцензії або іншого документа</w:t>
            </w:r>
          </w:p>
        </w:tc>
        <w:tc>
          <w:tcPr>
            <w:tcW w:w="6580" w:type="dxa"/>
            <w:vAlign w:val="center"/>
            <w:tmTcPr id="1759223788" protected="0"/>
          </w:tcPr>
          <w:p>
            <w:pPr>
              <w:rPr>
                <w:szCs w:val="24"/>
                <w:lang w:val="uk-ua" w:eastAsia="uk-ua"/>
              </w:rPr>
            </w:pPr>
            <w:r>
              <w:rPr>
                <w:szCs w:val="24"/>
                <w:lang w:val="uk-ua" w:eastAsia="uk-ua"/>
              </w:rPr>
              <w:t>18.02.2019</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Міжміський код та телефон</w:t>
            </w:r>
          </w:p>
        </w:tc>
        <w:tc>
          <w:tcPr>
            <w:tcW w:w="6580" w:type="dxa"/>
            <w:vAlign w:val="center"/>
            <w:tmTcPr id="1759223788" protected="0"/>
          </w:tcPr>
          <w:p>
            <w:pPr>
              <w:rPr>
                <w:szCs w:val="24"/>
                <w:lang w:val="uk-ua" w:eastAsia="uk-ua"/>
              </w:rPr>
            </w:pPr>
            <w:r>
              <w:rPr>
                <w:szCs w:val="24"/>
                <w:lang w:val="uk-ua" w:eastAsia="uk-ua"/>
              </w:rPr>
              <w:t>(044) 287-56-70</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Основні види діяльності із зазначенням їх найменування та коду за КВЕД</w:t>
            </w:r>
          </w:p>
        </w:tc>
        <w:tc>
          <w:tcPr>
            <w:tcW w:w="6580" w:type="dxa"/>
            <w:vAlign w:val="center"/>
            <w:tmTcPr id="1759223788" protected="0"/>
          </w:tcPr>
          <w:p>
            <w:pPr>
              <w:rPr>
                <w:szCs w:val="24"/>
                <w:lang w:val="uk-ua" w:eastAsia="uk-ua"/>
              </w:rPr>
            </w:pPr>
            <w:r>
              <w:rPr>
                <w:szCs w:val="24"/>
                <w:lang w:val="uk-ua" w:eastAsia="uk-ua"/>
              </w:rPr>
              <w:t>63.11   ОБРОБЛЕННЯ ДАНИХ, РОЗМІЩЕННЯ ІНФОРМАЦІЇ НА ВЕБ-ВУЗЛАХ І ПОВ'ЯЗАНА З НИМИ ДІЯЛЬНІСТЬ</w:t>
            </w:r>
          </w:p>
          <w:p>
            <w:pPr>
              <w:rPr>
                <w:szCs w:val="24"/>
                <w:lang w:val="uk-ua" w:eastAsia="uk-ua"/>
              </w:rPr>
            </w:pPr>
            <w:r>
              <w:rPr>
                <w:szCs w:val="24"/>
                <w:lang w:val="uk-ua" w:eastAsia="uk-ua"/>
              </w:rPr>
              <w:t>84.13   РЕГУЛЮВАННЯ ТА СПРИЯННЯ ЕФЕКТИВНОМУ ВЕДЕННЮ ЕКОНОМІЧНОЇ ДІЯЛЬНОСТІ</w:t>
            </w:r>
          </w:p>
          <w:p>
            <w:pPr>
              <w:rPr>
                <w:szCs w:val="24"/>
                <w:lang w:val="uk-ua" w:eastAsia="uk-ua"/>
              </w:rPr>
            </w:pPr>
            <w:r>
              <w:rPr>
                <w:szCs w:val="24"/>
                <w:lang w:val="uk-ua" w:eastAsia="uk-ua"/>
              </w:rPr>
              <w:t>62.01   КОМП'ЮТЕРНЕ ПРОГРАМУВАННЯ</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Вид послуг, які надає особа</w:t>
            </w:r>
          </w:p>
        </w:tc>
        <w:tc>
          <w:tcPr>
            <w:tcW w:w="6580" w:type="dxa"/>
            <w:vAlign w:val="center"/>
            <w:tmTcPr id="1759223788" protected="0"/>
          </w:tcPr>
          <w:p>
            <w:pPr>
              <w:rPr>
                <w:szCs w:val="24"/>
                <w:lang w:val="uk-ua" w:eastAsia="uk-ua"/>
              </w:rPr>
            </w:pPr>
            <w:r>
              <w:rPr>
                <w:szCs w:val="24"/>
                <w:lang w:val="uk-ua" w:eastAsia="uk-ua"/>
              </w:rPr>
              <w:t>Діяльність з подання звітності та/або адміністративних даних до НКЦПФР</w:t>
            </w:r>
          </w:p>
        </w:tc>
      </w:tr>
    </w:tbl>
    <w:p>
      <w:pPr>
        <w:spacing w:after="0" w:line="240" w:lineRule="auto"/>
        <w:rPr>
          <w:rFonts w:ascii="Times New Roman" w:hAnsi="Times New Roman" w:eastAsia="Times New Roman"/>
          <w:sz w:val="20"/>
          <w:szCs w:val="24"/>
          <w:lang w:val="uk-ua" w:eastAsia="uk-ua"/>
        </w:rPr>
      </w:pPr>
      <w:r>
        <w:rPr>
          <w:rFonts w:ascii="Times New Roman" w:hAnsi="Times New Roman" w:eastAsia="Times New Roman"/>
          <w:sz w:val="20"/>
          <w:szCs w:val="24"/>
          <w:lang w:val="uk-ua" w:eastAsia="uk-ua"/>
        </w:rPr>
      </w:r>
    </w:p>
    <w:p>
      <w:pPr>
        <w:spacing w:after="0" w:line="240" w:lineRule="auto"/>
        <w:rPr>
          <w:rFonts w:ascii="Times New Roman" w:hAnsi="Times New Roman" w:eastAsia="Times New Roman"/>
          <w:sz w:val="20"/>
          <w:szCs w:val="24"/>
          <w:lang w:val="uk-ua" w:eastAsia="uk-ua"/>
        </w:rPr>
      </w:pPr>
      <w:r>
        <w:rPr>
          <w:rFonts w:ascii="Times New Roman" w:hAnsi="Times New Roman" w:eastAsia="Times New Roman"/>
          <w:sz w:val="20"/>
          <w:szCs w:val="24"/>
          <w:lang w:val="uk-ua" w:eastAsia="uk-ua"/>
        </w:rPr>
      </w:r>
    </w:p>
    <w:tbl>
      <w:tblPr>
        <w:tblStyle w:val="TableGrid"/>
        <w:name w:val="Таблица19"/>
        <w:tabOrder w:val="0"/>
        <w:jc w:val="left"/>
        <w:tblInd w:w="0" w:type="dxa"/>
        <w:tblW w:w="9912" w:type="dxa"/>
        <w:tblLook w:val="04A0" w:firstRow="1" w:lastRow="0" w:firstColumn="1" w:lastColumn="0" w:noHBand="0" w:noVBand="1"/>
      </w:tblPr>
      <w:tblGrid>
        <w:gridCol w:w="3331"/>
        <w:gridCol w:w="6581"/>
      </w:tblGrid>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 xml:space="preserve">Повне найменування або ім'я </w:t>
            </w:r>
          </w:p>
        </w:tc>
        <w:tc>
          <w:tcPr>
            <w:tcW w:w="6581" w:type="dxa"/>
            <w:vAlign w:val="center"/>
            <w:tmTcPr id="1759223788" protected="0"/>
          </w:tcPr>
          <w:p>
            <w:pPr>
              <w:rPr>
                <w:szCs w:val="24"/>
                <w:lang w:val="uk-ua" w:eastAsia="uk-ua"/>
              </w:rPr>
            </w:pPr>
            <w:r>
              <w:rPr>
                <w:szCs w:val="24"/>
                <w:lang w:val="uk-ua" w:eastAsia="uk-ua"/>
              </w:rPr>
              <w:t>ТОВ "АУДИТОРСЬКА ФІРМА "АУДИТ СЕРВІС ГРУП"</w:t>
            </w:r>
          </w:p>
        </w:tc>
      </w:tr>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РНОКПП</w:t>
            </w:r>
          </w:p>
        </w:tc>
        <w:tc>
          <w:tcPr>
            <w:tcW w:w="6581" w:type="dxa"/>
            <w:vAlign w:val="center"/>
            <w:tmTcPr id="1759223788" protected="0"/>
          </w:tcPr>
          <w:p>
            <w:pPr>
              <w:rPr>
                <w:szCs w:val="24"/>
                <w:lang w:val="uk-ua" w:eastAsia="uk-ua"/>
              </w:rPr>
            </w:pPr>
            <w:r>
              <w:rPr>
                <w:szCs w:val="24"/>
                <w:lang w:val="uk-ua" w:eastAsia="uk-ua"/>
              </w:rPr>
            </w:r>
          </w:p>
        </w:tc>
      </w:tr>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УНЗР</w:t>
            </w:r>
          </w:p>
        </w:tc>
        <w:tc>
          <w:tcPr>
            <w:tcW w:w="6581" w:type="dxa"/>
            <w:vAlign w:val="center"/>
            <w:tmTcPr id="1759223788" protected="0"/>
          </w:tcPr>
          <w:p>
            <w:pPr>
              <w:rPr>
                <w:szCs w:val="24"/>
                <w:lang w:val="uk-ua" w:eastAsia="uk-ua"/>
              </w:rPr>
            </w:pPr>
            <w:r>
              <w:rPr>
                <w:szCs w:val="24"/>
                <w:lang w:val="uk-ua" w:eastAsia="uk-ua"/>
              </w:rPr>
            </w:r>
          </w:p>
        </w:tc>
      </w:tr>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Організаційно-правова форма</w:t>
            </w:r>
          </w:p>
        </w:tc>
        <w:tc>
          <w:tcPr>
            <w:tcW w:w="6581" w:type="dxa"/>
            <w:vAlign w:val="center"/>
            <w:tmTcPr id="1759223788" protected="0"/>
          </w:tcPr>
          <w:p>
            <w:pPr>
              <w:rPr>
                <w:szCs w:val="24"/>
                <w:lang w:val="uk-ua" w:eastAsia="uk-ua"/>
              </w:rPr>
            </w:pPr>
            <w:r>
              <w:rPr>
                <w:szCs w:val="24"/>
                <w:lang w:val="uk-ua" w:eastAsia="uk-ua"/>
              </w:rPr>
              <w:t>Товариство з обмеженою вiдповiдальнiстю</w:t>
            </w:r>
          </w:p>
        </w:tc>
      </w:tr>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Ідентифікаційний код юридичної особи</w:t>
            </w:r>
          </w:p>
        </w:tc>
        <w:tc>
          <w:tcPr>
            <w:tcW w:w="6581" w:type="dxa"/>
            <w:vAlign w:val="center"/>
            <w:tmTcPr id="1759223788" protected="0"/>
          </w:tcPr>
          <w:p>
            <w:pPr>
              <w:rPr>
                <w:szCs w:val="24"/>
                <w:lang w:val="uk-ua" w:eastAsia="uk-ua"/>
              </w:rPr>
            </w:pPr>
            <w:r>
              <w:rPr>
                <w:szCs w:val="24"/>
                <w:lang w:val="uk-ua" w:eastAsia="uk-ua"/>
              </w:rPr>
              <w:t>31714676</w:t>
            </w:r>
          </w:p>
        </w:tc>
      </w:tr>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Місцезнаходження</w:t>
            </w:r>
          </w:p>
        </w:tc>
        <w:tc>
          <w:tcPr>
            <w:tcW w:w="6581" w:type="dxa"/>
            <w:vAlign w:val="center"/>
            <w:tmTcPr id="1759223788" protected="0"/>
          </w:tcPr>
          <w:p>
            <w:pPr>
              <w:rPr>
                <w:szCs w:val="24"/>
                <w:lang w:val="uk-ua" w:eastAsia="uk-ua"/>
              </w:rPr>
            </w:pPr>
            <w:r>
              <w:rPr>
                <w:szCs w:val="24"/>
                <w:lang w:val="uk-ua" w:eastAsia="uk-ua"/>
              </w:rPr>
              <w:t>01030 УКРАЇНА  д/н м.Київ вулиця Івана Франка, буд.42Б, офіс 203</w:t>
            </w:r>
          </w:p>
        </w:tc>
      </w:tr>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Номер ліцензії або іншого документа на цей вид діяльності</w:t>
            </w:r>
          </w:p>
        </w:tc>
        <w:tc>
          <w:tcPr>
            <w:tcW w:w="6581" w:type="dxa"/>
            <w:vAlign w:val="center"/>
            <w:tmTcPr id="1759223788" protected="0"/>
          </w:tcPr>
          <w:p>
            <w:pPr>
              <w:rPr>
                <w:szCs w:val="24"/>
                <w:lang w:val="uk-ua" w:eastAsia="uk-ua"/>
              </w:rPr>
            </w:pPr>
            <w:r>
              <w:rPr>
                <w:szCs w:val="24"/>
                <w:lang w:val="uk-ua" w:eastAsia="uk-ua"/>
              </w:rPr>
              <w:t>№ 2738</w:t>
            </w:r>
          </w:p>
        </w:tc>
      </w:tr>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Назва державного органу, що видав ліцензію або інший документ</w:t>
            </w:r>
          </w:p>
        </w:tc>
        <w:tc>
          <w:tcPr>
            <w:tcW w:w="6581" w:type="dxa"/>
            <w:vAlign w:val="center"/>
            <w:tmTcPr id="1759223788" protected="0"/>
          </w:tcPr>
          <w:p>
            <w:pPr>
              <w:rPr>
                <w:szCs w:val="24"/>
                <w:lang w:val="uk-ua" w:eastAsia="uk-ua"/>
              </w:rPr>
            </w:pPr>
            <w:r>
              <w:rPr>
                <w:szCs w:val="24"/>
                <w:lang w:val="uk-ua" w:eastAsia="uk-ua"/>
              </w:rPr>
              <w:t>Аудиторська палата України</w:t>
            </w:r>
          </w:p>
        </w:tc>
      </w:tr>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Дата видачі ліцензії або іншого документа</w:t>
            </w:r>
          </w:p>
        </w:tc>
        <w:tc>
          <w:tcPr>
            <w:tcW w:w="6581" w:type="dxa"/>
            <w:vAlign w:val="center"/>
            <w:tmTcPr id="1759223788" protected="0"/>
          </w:tcPr>
          <w:p>
            <w:pPr>
              <w:rPr>
                <w:szCs w:val="24"/>
                <w:lang w:val="uk-ua" w:eastAsia="uk-ua"/>
              </w:rPr>
            </w:pPr>
            <w:r>
              <w:rPr>
                <w:szCs w:val="24"/>
                <w:lang w:val="uk-ua" w:eastAsia="uk-ua"/>
              </w:rPr>
              <w:t>30.11.2001</w:t>
            </w:r>
          </w:p>
        </w:tc>
      </w:tr>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Міжміський код та телефон</w:t>
            </w:r>
          </w:p>
        </w:tc>
        <w:tc>
          <w:tcPr>
            <w:tcW w:w="6581" w:type="dxa"/>
            <w:vAlign w:val="center"/>
            <w:tmTcPr id="1759223788" protected="0"/>
          </w:tcPr>
          <w:p>
            <w:pPr>
              <w:rPr>
                <w:szCs w:val="24"/>
                <w:lang w:val="uk-ua" w:eastAsia="uk-ua"/>
              </w:rPr>
            </w:pPr>
            <w:r>
              <w:rPr>
                <w:szCs w:val="24"/>
                <w:lang w:val="uk-ua" w:eastAsia="uk-ua"/>
              </w:rPr>
              <w:t>0442218116</w:t>
            </w:r>
          </w:p>
        </w:tc>
      </w:tr>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Основні види діяльності із зазначенням їх найменування та коду за КВЕД</w:t>
            </w:r>
          </w:p>
        </w:tc>
        <w:tc>
          <w:tcPr>
            <w:tcW w:w="6581" w:type="dxa"/>
            <w:vAlign w:val="center"/>
            <w:tmTcPr id="1759223788" protected="0"/>
          </w:tcPr>
          <w:p>
            <w:pPr>
              <w:rPr>
                <w:szCs w:val="24"/>
                <w:lang w:val="uk-ua" w:eastAsia="uk-ua"/>
              </w:rPr>
            </w:pPr>
            <w:r>
              <w:rPr>
                <w:szCs w:val="24"/>
                <w:lang w:val="uk-ua" w:eastAsia="uk-ua"/>
              </w:rPr>
              <w:t>69.20   ДІЯЛЬНІСТЬ У СФЕРІ БУХГАЛТЕРСЬКОГО ОБЛІКУ Й АУДИТУ; КОНСУЛЬТУВАННЯ З ПИТАНЬ ОПОДАТКУВАННЯ</w:t>
            </w:r>
          </w:p>
        </w:tc>
      </w:tr>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Вид послуг, які надає особа</w:t>
            </w:r>
          </w:p>
        </w:tc>
        <w:tc>
          <w:tcPr>
            <w:tcW w:w="6581" w:type="dxa"/>
            <w:vAlign w:val="center"/>
            <w:tmTcPr id="1759223788" protected="0"/>
          </w:tcPr>
          <w:p>
            <w:pPr>
              <w:rPr>
                <w:szCs w:val="24"/>
                <w:lang w:val="uk-ua" w:eastAsia="uk-ua"/>
              </w:rPr>
            </w:pPr>
            <w:r>
              <w:rPr>
                <w:szCs w:val="24"/>
                <w:lang w:val="uk-ua" w:eastAsia="uk-ua"/>
              </w:rPr>
              <w:t>Аудитор (аудиторська фірма), що надає аудиторські послуги емітенту</w:t>
            </w:r>
          </w:p>
        </w:tc>
      </w:tr>
    </w:tbl>
    <w:p>
      <w:pPr>
        <w:spacing w:after="0" w:line="240" w:lineRule="auto"/>
        <w:rPr>
          <w:rFonts w:ascii="Times New Roman" w:hAnsi="Times New Roman" w:eastAsia="Times New Roman"/>
          <w:sz w:val="20"/>
          <w:szCs w:val="24"/>
          <w:lang w:val="uk-ua" w:eastAsia="uk-ua"/>
        </w:rPr>
      </w:pPr>
      <w:r>
        <w:rPr>
          <w:rFonts w:ascii="Times New Roman" w:hAnsi="Times New Roman" w:eastAsia="Times New Roman"/>
          <w:sz w:val="20"/>
          <w:szCs w:val="24"/>
          <w:lang w:val="uk-ua" w:eastAsia="uk-ua"/>
        </w:rPr>
      </w:r>
    </w:p>
    <w:p>
      <w:pPr>
        <w:spacing w:after="0" w:line="240" w:lineRule="auto"/>
        <w:rPr>
          <w:rFonts w:ascii="Times New Roman" w:hAnsi="Times New Roman" w:eastAsia="Times New Roman"/>
          <w:sz w:val="20"/>
          <w:szCs w:val="24"/>
          <w:lang w:val="uk-ua" w:eastAsia="uk-ua"/>
        </w:rPr>
      </w:pPr>
      <w:r>
        <w:rPr>
          <w:rFonts w:ascii="Times New Roman" w:hAnsi="Times New Roman" w:eastAsia="Times New Roman"/>
          <w:sz w:val="20"/>
          <w:szCs w:val="24"/>
          <w:lang w:val="uk-ua" w:eastAsia="uk-ua"/>
        </w:rPr>
      </w:r>
    </w:p>
    <w:tbl>
      <w:tblPr>
        <w:tblStyle w:val="TableGrid"/>
        <w:name w:val="Таблица20"/>
        <w:tabOrder w:val="0"/>
        <w:jc w:val="left"/>
        <w:tblInd w:w="0" w:type="dxa"/>
        <w:tblW w:w="9912" w:type="dxa"/>
        <w:tblLook w:val="04A0" w:firstRow="1" w:lastRow="0" w:firstColumn="1" w:lastColumn="0" w:noHBand="0" w:noVBand="1"/>
      </w:tblPr>
      <w:tblGrid>
        <w:gridCol w:w="3332"/>
        <w:gridCol w:w="6580"/>
      </w:tblGrid>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 xml:space="preserve">Повне найменування або ім'я </w:t>
            </w:r>
          </w:p>
        </w:tc>
        <w:tc>
          <w:tcPr>
            <w:tcW w:w="6580" w:type="dxa"/>
            <w:vAlign w:val="center"/>
            <w:tmTcPr id="1759223788" protected="0"/>
          </w:tcPr>
          <w:p>
            <w:pPr>
              <w:rPr>
                <w:szCs w:val="24"/>
                <w:lang w:val="uk-ua" w:eastAsia="uk-ua"/>
              </w:rPr>
            </w:pPr>
            <w:r>
              <w:rPr>
                <w:szCs w:val="24"/>
                <w:lang w:val="uk-ua" w:eastAsia="uk-ua"/>
              </w:rPr>
              <w:t>Публічне акціонерне товариство "Національний депозитарій України"</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РНОКПП</w:t>
            </w:r>
          </w:p>
        </w:tc>
        <w:tc>
          <w:tcPr>
            <w:tcW w:w="6580" w:type="dxa"/>
            <w:vAlign w:val="center"/>
            <w:tmTcPr id="1759223788" protected="0"/>
          </w:tcPr>
          <w:p>
            <w:pPr>
              <w:rPr>
                <w:szCs w:val="24"/>
                <w:lang w:val="uk-ua" w:eastAsia="uk-ua"/>
              </w:rPr>
            </w:pPr>
            <w:r>
              <w:rPr>
                <w:szCs w:val="24"/>
                <w:lang w:val="uk-ua" w:eastAsia="uk-ua"/>
              </w:rPr>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УНЗР</w:t>
            </w:r>
          </w:p>
        </w:tc>
        <w:tc>
          <w:tcPr>
            <w:tcW w:w="6580" w:type="dxa"/>
            <w:vAlign w:val="center"/>
            <w:tmTcPr id="1759223788" protected="0"/>
          </w:tcPr>
          <w:p>
            <w:pPr>
              <w:rPr>
                <w:szCs w:val="24"/>
                <w:lang w:val="uk-ua" w:eastAsia="uk-ua"/>
              </w:rPr>
            </w:pPr>
            <w:r>
              <w:rPr>
                <w:szCs w:val="24"/>
                <w:lang w:val="uk-ua" w:eastAsia="uk-ua"/>
              </w:rPr>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Організаційно-правова форма</w:t>
            </w:r>
          </w:p>
        </w:tc>
        <w:tc>
          <w:tcPr>
            <w:tcW w:w="6580" w:type="dxa"/>
            <w:vAlign w:val="center"/>
            <w:tmTcPr id="1759223788" protected="0"/>
          </w:tcPr>
          <w:p>
            <w:pPr>
              <w:rPr>
                <w:szCs w:val="24"/>
                <w:lang w:val="uk-ua" w:eastAsia="uk-ua"/>
              </w:rPr>
            </w:pPr>
            <w:r>
              <w:rPr>
                <w:szCs w:val="24"/>
                <w:lang w:val="uk-ua" w:eastAsia="uk-ua"/>
              </w:rPr>
              <w:t>Публiчне акцiонерне товариство</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Ідентифікаційний код юридичної особи</w:t>
            </w:r>
          </w:p>
        </w:tc>
        <w:tc>
          <w:tcPr>
            <w:tcW w:w="6580" w:type="dxa"/>
            <w:vAlign w:val="center"/>
            <w:tmTcPr id="1759223788" protected="0"/>
          </w:tcPr>
          <w:p>
            <w:pPr>
              <w:rPr>
                <w:szCs w:val="24"/>
                <w:lang w:val="uk-ua" w:eastAsia="uk-ua"/>
              </w:rPr>
            </w:pPr>
            <w:r>
              <w:rPr>
                <w:szCs w:val="24"/>
                <w:lang w:val="uk-ua" w:eastAsia="uk-ua"/>
              </w:rPr>
              <w:t>30370711</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Місцезнаходження</w:t>
            </w:r>
          </w:p>
        </w:tc>
        <w:tc>
          <w:tcPr>
            <w:tcW w:w="6580" w:type="dxa"/>
            <w:vAlign w:val="center"/>
            <w:tmTcPr id="1759223788" protected="0"/>
          </w:tcPr>
          <w:p>
            <w:pPr>
              <w:rPr>
                <w:szCs w:val="24"/>
                <w:lang w:val="uk-ua" w:eastAsia="uk-ua"/>
              </w:rPr>
            </w:pPr>
            <w:r>
              <w:rPr>
                <w:szCs w:val="24"/>
                <w:lang w:val="uk-ua" w:eastAsia="uk-ua"/>
              </w:rPr>
              <w:t>04107 УКРАЇНА   м.Київ вул.Якубенківська, 7-г</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Номер ліцензії або іншого документа на цей вид діяльності</w:t>
            </w:r>
          </w:p>
        </w:tc>
        <w:tc>
          <w:tcPr>
            <w:tcW w:w="6580" w:type="dxa"/>
            <w:vAlign w:val="center"/>
            <w:tmTcPr id="1759223788" protected="0"/>
          </w:tcPr>
          <w:p>
            <w:pPr>
              <w:rPr>
                <w:szCs w:val="24"/>
                <w:lang w:val="uk-ua" w:eastAsia="uk-ua"/>
              </w:rPr>
            </w:pPr>
            <w:r>
              <w:rPr>
                <w:szCs w:val="24"/>
                <w:lang w:val="uk-ua" w:eastAsia="uk-ua"/>
              </w:rPr>
              <w:t>Рішення № 2092</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Назва державного органу, що видав ліцензію або інший документ</w:t>
            </w:r>
          </w:p>
        </w:tc>
        <w:tc>
          <w:tcPr>
            <w:tcW w:w="6580" w:type="dxa"/>
            <w:vAlign w:val="center"/>
            <w:tmTcPr id="1759223788" protected="0"/>
          </w:tcPr>
          <w:p>
            <w:pPr>
              <w:rPr>
                <w:szCs w:val="24"/>
                <w:lang w:val="uk-ua" w:eastAsia="uk-ua"/>
              </w:rPr>
            </w:pPr>
            <w:r>
              <w:rPr>
                <w:szCs w:val="24"/>
                <w:lang w:val="uk-ua" w:eastAsia="uk-ua"/>
              </w:rPr>
              <w:t>НКЦПФР</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Дата видачі ліцензії або іншого документа</w:t>
            </w:r>
          </w:p>
        </w:tc>
        <w:tc>
          <w:tcPr>
            <w:tcW w:w="6580" w:type="dxa"/>
            <w:vAlign w:val="center"/>
            <w:tmTcPr id="1759223788" protected="0"/>
          </w:tcPr>
          <w:p>
            <w:pPr>
              <w:rPr>
                <w:szCs w:val="24"/>
                <w:lang w:val="uk-ua" w:eastAsia="uk-ua"/>
              </w:rPr>
            </w:pPr>
            <w:r>
              <w:rPr>
                <w:szCs w:val="24"/>
                <w:lang w:val="uk-ua" w:eastAsia="uk-ua"/>
              </w:rPr>
              <w:t>01.10.2013</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Міжміський код та телефон</w:t>
            </w:r>
          </w:p>
        </w:tc>
        <w:tc>
          <w:tcPr>
            <w:tcW w:w="6580" w:type="dxa"/>
            <w:vAlign w:val="center"/>
            <w:tmTcPr id="1759223788" protected="0"/>
          </w:tcPr>
          <w:p>
            <w:pPr>
              <w:rPr>
                <w:szCs w:val="24"/>
                <w:lang w:val="uk-ua" w:eastAsia="uk-ua"/>
              </w:rPr>
            </w:pPr>
            <w:r>
              <w:rPr>
                <w:szCs w:val="24"/>
                <w:lang w:val="uk-ua" w:eastAsia="uk-ua"/>
              </w:rPr>
              <w:t>(044) 363-04-00</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Основні види діяльності із зазначенням їх найменування та коду за КВЕД</w:t>
            </w:r>
          </w:p>
        </w:tc>
        <w:tc>
          <w:tcPr>
            <w:tcW w:w="6580" w:type="dxa"/>
            <w:vAlign w:val="center"/>
            <w:tmTcPr id="1759223788" protected="0"/>
          </w:tcPr>
          <w:p>
            <w:pPr>
              <w:rPr>
                <w:szCs w:val="24"/>
                <w:lang w:val="uk-ua" w:eastAsia="uk-ua"/>
              </w:rPr>
            </w:pPr>
            <w:r>
              <w:rPr>
                <w:szCs w:val="24"/>
                <w:lang w:val="uk-ua" w:eastAsia="uk-ua"/>
              </w:rPr>
              <w:t>63.11   ОБРОБЛЕННЯ ДАНИХ, РОЗМІЩЕННЯ ІНФОРМАЦІЇ НА ВЕБ-ВУЗЛАХ І ПОВ'ЯЗАНА З НИМИ ДІЯЛЬНІСТЬ</w:t>
            </w:r>
          </w:p>
          <w:p>
            <w:pPr>
              <w:rPr>
                <w:szCs w:val="24"/>
                <w:lang w:val="uk-ua" w:eastAsia="uk-ua"/>
              </w:rPr>
            </w:pPr>
            <w:r>
              <w:rPr>
                <w:szCs w:val="24"/>
                <w:lang w:val="uk-ua" w:eastAsia="uk-ua"/>
              </w:rPr>
              <w:t>18.20   ТИРАЖУВАННЯ ЗВУКО-, ВІДЕОЗАПИСІВ І ПРОГРАМНОГО ЗАБЕЗПЕЧЕННЯ</w:t>
            </w:r>
          </w:p>
          <w:p>
            <w:pPr>
              <w:rPr>
                <w:szCs w:val="24"/>
                <w:lang w:val="uk-ua" w:eastAsia="uk-ua"/>
              </w:rPr>
            </w:pPr>
            <w:r>
              <w:rPr>
                <w:szCs w:val="24"/>
                <w:lang w:val="uk-ua" w:eastAsia="uk-ua"/>
              </w:rPr>
              <w:t>62.01   КОМП'ЮТЕРНЕ ПРОГРАМУВАННЯ</w:t>
            </w:r>
          </w:p>
        </w:tc>
      </w:tr>
      <w:tr>
        <w:trPr>
          <w:cantSplit w:val="0"/>
          <w:trHeight w:val="360" w:hRule="atLeast"/>
        </w:trPr>
        <w:tc>
          <w:tcPr>
            <w:tcW w:w="3332" w:type="dxa"/>
            <w:vAlign w:val="center"/>
            <w:tmTcPr id="1759223788" protected="0"/>
          </w:tcPr>
          <w:p>
            <w:pPr>
              <w:rPr>
                <w:b/>
                <w:szCs w:val="24"/>
                <w:lang w:val="uk-ua" w:eastAsia="uk-ua"/>
              </w:rPr>
            </w:pPr>
            <w:r>
              <w:rPr>
                <w:b/>
                <w:szCs w:val="24"/>
                <w:lang w:val="uk-ua" w:eastAsia="uk-ua"/>
              </w:rPr>
              <w:t>Вид послуг, які надає особа</w:t>
            </w:r>
          </w:p>
        </w:tc>
        <w:tc>
          <w:tcPr>
            <w:tcW w:w="6580" w:type="dxa"/>
            <w:vAlign w:val="center"/>
            <w:tmTcPr id="1759223788" protected="0"/>
          </w:tcPr>
          <w:p>
            <w:pPr>
              <w:rPr>
                <w:szCs w:val="24"/>
                <w:lang w:val="uk-ua" w:eastAsia="uk-ua"/>
              </w:rPr>
            </w:pPr>
            <w:r>
              <w:rPr>
                <w:szCs w:val="24"/>
                <w:lang w:val="uk-ua" w:eastAsia="uk-ua"/>
              </w:rPr>
              <w:t>Депозитарна діяльність центрального депозитарію</w:t>
            </w:r>
          </w:p>
        </w:tc>
      </w:tr>
    </w:tbl>
    <w:p>
      <w:pPr>
        <w:spacing w:after="0" w:line="240" w:lineRule="auto"/>
        <w:rPr>
          <w:rFonts w:ascii="Times New Roman" w:hAnsi="Times New Roman" w:eastAsia="Times New Roman"/>
          <w:sz w:val="20"/>
          <w:szCs w:val="24"/>
          <w:lang w:val="uk-ua" w:eastAsia="uk-ua"/>
        </w:rPr>
      </w:pPr>
      <w:r>
        <w:rPr>
          <w:rFonts w:ascii="Times New Roman" w:hAnsi="Times New Roman" w:eastAsia="Times New Roman"/>
          <w:sz w:val="20"/>
          <w:szCs w:val="24"/>
          <w:lang w:val="uk-ua" w:eastAsia="uk-ua"/>
        </w:rPr>
      </w:r>
    </w:p>
    <w:p>
      <w:pPr>
        <w:spacing w:after="0" w:line="240" w:lineRule="auto"/>
        <w:rPr>
          <w:rFonts w:ascii="Times New Roman" w:hAnsi="Times New Roman" w:eastAsia="Times New Roman"/>
          <w:sz w:val="20"/>
          <w:szCs w:val="24"/>
          <w:lang w:val="uk-ua" w:eastAsia="uk-ua"/>
        </w:rPr>
      </w:pPr>
      <w:r>
        <w:rPr>
          <w:rFonts w:ascii="Times New Roman" w:hAnsi="Times New Roman" w:eastAsia="Times New Roman"/>
          <w:sz w:val="20"/>
          <w:szCs w:val="24"/>
          <w:lang w:val="uk-ua" w:eastAsia="uk-ua"/>
        </w:rPr>
      </w:r>
    </w:p>
    <w:tbl>
      <w:tblPr>
        <w:tblStyle w:val="TableGrid"/>
        <w:name w:val="Таблица21"/>
        <w:tabOrder w:val="0"/>
        <w:jc w:val="left"/>
        <w:tblInd w:w="0" w:type="dxa"/>
        <w:tblW w:w="9912" w:type="dxa"/>
        <w:tblLook w:val="04A0" w:firstRow="1" w:lastRow="0" w:firstColumn="1" w:lastColumn="0" w:noHBand="0" w:noVBand="1"/>
      </w:tblPr>
      <w:tblGrid>
        <w:gridCol w:w="3331"/>
        <w:gridCol w:w="6581"/>
      </w:tblGrid>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 xml:space="preserve">Повне найменування або ім'я </w:t>
            </w:r>
          </w:p>
        </w:tc>
        <w:tc>
          <w:tcPr>
            <w:tcW w:w="6581" w:type="dxa"/>
            <w:vAlign w:val="center"/>
            <w:tmTcPr id="1759223788" protected="0"/>
          </w:tcPr>
          <w:p>
            <w:pPr>
              <w:rPr>
                <w:szCs w:val="24"/>
                <w:lang w:val="uk-ua" w:eastAsia="uk-ua"/>
              </w:rPr>
            </w:pPr>
            <w:r>
              <w:rPr>
                <w:szCs w:val="24"/>
                <w:lang w:val="uk-ua" w:eastAsia="uk-ua"/>
              </w:rPr>
              <w:t>Товаристов з обмеженою відповідальністю "Емкон"</w:t>
            </w:r>
          </w:p>
        </w:tc>
      </w:tr>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РНОКПП</w:t>
            </w:r>
          </w:p>
        </w:tc>
        <w:tc>
          <w:tcPr>
            <w:tcW w:w="6581" w:type="dxa"/>
            <w:vAlign w:val="center"/>
            <w:tmTcPr id="1759223788" protected="0"/>
          </w:tcPr>
          <w:p>
            <w:pPr>
              <w:rPr>
                <w:szCs w:val="24"/>
                <w:lang w:val="uk-ua" w:eastAsia="uk-ua"/>
              </w:rPr>
            </w:pPr>
            <w:r>
              <w:rPr>
                <w:szCs w:val="24"/>
                <w:lang w:val="uk-ua" w:eastAsia="uk-ua"/>
              </w:rPr>
            </w:r>
          </w:p>
        </w:tc>
      </w:tr>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УНЗР</w:t>
            </w:r>
          </w:p>
        </w:tc>
        <w:tc>
          <w:tcPr>
            <w:tcW w:w="6581" w:type="dxa"/>
            <w:vAlign w:val="center"/>
            <w:tmTcPr id="1759223788" protected="0"/>
          </w:tcPr>
          <w:p>
            <w:pPr>
              <w:rPr>
                <w:szCs w:val="24"/>
                <w:lang w:val="uk-ua" w:eastAsia="uk-ua"/>
              </w:rPr>
            </w:pPr>
            <w:r>
              <w:rPr>
                <w:szCs w:val="24"/>
                <w:lang w:val="uk-ua" w:eastAsia="uk-ua"/>
              </w:rPr>
            </w:r>
          </w:p>
        </w:tc>
      </w:tr>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Організаційно-правова форма</w:t>
            </w:r>
          </w:p>
        </w:tc>
        <w:tc>
          <w:tcPr>
            <w:tcW w:w="6581" w:type="dxa"/>
            <w:vAlign w:val="center"/>
            <w:tmTcPr id="1759223788" protected="0"/>
          </w:tcPr>
          <w:p>
            <w:pPr>
              <w:rPr>
                <w:szCs w:val="24"/>
                <w:lang w:val="uk-ua" w:eastAsia="uk-ua"/>
              </w:rPr>
            </w:pPr>
            <w:r>
              <w:rPr>
                <w:szCs w:val="24"/>
                <w:lang w:val="uk-ua" w:eastAsia="uk-ua"/>
              </w:rPr>
              <w:t>Товариство з обмеженою вiдповiдальнiстю</w:t>
            </w:r>
          </w:p>
        </w:tc>
      </w:tr>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Ідентифікаційний код юридичної особи</w:t>
            </w:r>
          </w:p>
        </w:tc>
        <w:tc>
          <w:tcPr>
            <w:tcW w:w="6581" w:type="dxa"/>
            <w:vAlign w:val="center"/>
            <w:tmTcPr id="1759223788" protected="0"/>
          </w:tcPr>
          <w:p>
            <w:pPr>
              <w:rPr>
                <w:szCs w:val="24"/>
                <w:lang w:val="uk-ua" w:eastAsia="uk-ua"/>
              </w:rPr>
            </w:pPr>
            <w:r>
              <w:rPr>
                <w:szCs w:val="24"/>
                <w:lang w:val="uk-ua" w:eastAsia="uk-ua"/>
              </w:rPr>
            </w:r>
          </w:p>
        </w:tc>
      </w:tr>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Місцезнаходження</w:t>
            </w:r>
          </w:p>
        </w:tc>
        <w:tc>
          <w:tcPr>
            <w:tcW w:w="6581" w:type="dxa"/>
            <w:vAlign w:val="center"/>
            <w:tmTcPr id="1759223788" protected="0"/>
          </w:tcPr>
          <w:p>
            <w:pPr>
              <w:rPr>
                <w:szCs w:val="24"/>
                <w:lang w:val="uk-ua" w:eastAsia="uk-ua"/>
              </w:rPr>
            </w:pPr>
            <w:r>
              <w:rPr>
                <w:szCs w:val="24"/>
                <w:lang w:val="uk-ua" w:eastAsia="uk-ua"/>
              </w:rPr>
              <w:t>03113 УКРАЇНА    Василя Макуха,5</w:t>
            </w:r>
          </w:p>
        </w:tc>
      </w:tr>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Номер ліцензії або іншого документа на цей вид діяльності</w:t>
            </w:r>
          </w:p>
        </w:tc>
        <w:tc>
          <w:tcPr>
            <w:tcW w:w="6581" w:type="dxa"/>
            <w:vAlign w:val="center"/>
            <w:tmTcPr id="1759223788" protected="0"/>
          </w:tcPr>
          <w:p>
            <w:pPr>
              <w:rPr>
                <w:szCs w:val="24"/>
                <w:lang w:val="uk-ua" w:eastAsia="uk-ua"/>
              </w:rPr>
            </w:pPr>
            <w:r>
              <w:rPr>
                <w:szCs w:val="24"/>
                <w:lang w:val="uk-ua" w:eastAsia="uk-ua"/>
              </w:rPr>
            </w:r>
          </w:p>
        </w:tc>
      </w:tr>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Назва державного органу, що видав ліцензію або інший документ</w:t>
            </w:r>
          </w:p>
        </w:tc>
        <w:tc>
          <w:tcPr>
            <w:tcW w:w="6581" w:type="dxa"/>
            <w:vAlign w:val="center"/>
            <w:tmTcPr id="1759223788" protected="0"/>
          </w:tcPr>
          <w:p>
            <w:pPr>
              <w:rPr>
                <w:szCs w:val="24"/>
                <w:lang w:val="uk-ua" w:eastAsia="uk-ua"/>
              </w:rPr>
            </w:pPr>
            <w:r>
              <w:rPr>
                <w:szCs w:val="24"/>
                <w:lang w:val="uk-ua" w:eastAsia="uk-ua"/>
              </w:rPr>
            </w:r>
          </w:p>
        </w:tc>
      </w:tr>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Дата видачі ліцензії або іншого документа</w:t>
            </w:r>
          </w:p>
        </w:tc>
        <w:tc>
          <w:tcPr>
            <w:tcW w:w="6581" w:type="dxa"/>
            <w:vAlign w:val="center"/>
            <w:tmTcPr id="1759223788" protected="0"/>
          </w:tcPr>
          <w:p>
            <w:pPr>
              <w:rPr>
                <w:szCs w:val="24"/>
                <w:lang w:val="uk-ua" w:eastAsia="uk-ua"/>
              </w:rPr>
            </w:pPr>
            <w:r>
              <w:rPr>
                <w:szCs w:val="24"/>
                <w:lang w:val="uk-ua" w:eastAsia="uk-ua"/>
              </w:rPr>
            </w:r>
          </w:p>
        </w:tc>
      </w:tr>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Міжміський код та телефон</w:t>
            </w:r>
          </w:p>
        </w:tc>
        <w:tc>
          <w:tcPr>
            <w:tcW w:w="6581" w:type="dxa"/>
            <w:vAlign w:val="center"/>
            <w:tmTcPr id="1759223788" protected="0"/>
          </w:tcPr>
          <w:p>
            <w:pPr>
              <w:rPr>
                <w:szCs w:val="24"/>
                <w:lang w:val="uk-ua" w:eastAsia="uk-ua"/>
              </w:rPr>
            </w:pPr>
            <w:r>
              <w:rPr>
                <w:szCs w:val="24"/>
                <w:lang w:val="uk-ua" w:eastAsia="uk-ua"/>
              </w:rPr>
              <w:t>+380444569004</w:t>
            </w:r>
          </w:p>
        </w:tc>
      </w:tr>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Основні види діяльності із зазначенням їх найменування та коду за КВЕД</w:t>
            </w:r>
          </w:p>
        </w:tc>
        <w:tc>
          <w:tcPr>
            <w:tcW w:w="6581" w:type="dxa"/>
            <w:vAlign w:val="center"/>
            <w:tmTcPr id="1759223788" protected="0"/>
          </w:tcPr>
          <w:p>
            <w:pPr>
              <w:rPr>
                <w:szCs w:val="24"/>
                <w:lang w:val="uk-ua" w:eastAsia="uk-ua"/>
              </w:rPr>
            </w:pPr>
            <w:r>
              <w:rPr>
                <w:szCs w:val="24"/>
                <w:lang w:val="uk-ua" w:eastAsia="uk-ua"/>
              </w:rPr>
              <w:t>70.22   КОНСУЛЬТУВАННЯ З ПИТАНЬ КОМЕРЦІЙНОЇ ДІЯЛЬНОСТІ Й КЕРУВАННЯ</w:t>
            </w:r>
          </w:p>
        </w:tc>
      </w:tr>
      <w:tr>
        <w:trPr>
          <w:cantSplit w:val="0"/>
          <w:trHeight w:val="360" w:hRule="atLeast"/>
        </w:trPr>
        <w:tc>
          <w:tcPr>
            <w:tcW w:w="3331" w:type="dxa"/>
            <w:vAlign w:val="center"/>
            <w:tmTcPr id="1759223788" protected="0"/>
          </w:tcPr>
          <w:p>
            <w:pPr>
              <w:rPr>
                <w:b/>
                <w:szCs w:val="24"/>
                <w:lang w:val="uk-ua" w:eastAsia="uk-ua"/>
              </w:rPr>
            </w:pPr>
            <w:r>
              <w:rPr>
                <w:b/>
                <w:szCs w:val="24"/>
                <w:lang w:val="uk-ua" w:eastAsia="uk-ua"/>
              </w:rPr>
              <w:t>Вид послуг, які надає особа</w:t>
            </w:r>
          </w:p>
        </w:tc>
        <w:tc>
          <w:tcPr>
            <w:tcW w:w="6581" w:type="dxa"/>
            <w:vAlign w:val="center"/>
            <w:tmTcPr id="1759223788" protected="0"/>
          </w:tcPr>
          <w:p>
            <w:pPr>
              <w:rPr>
                <w:szCs w:val="24"/>
                <w:lang w:val="uk-ua" w:eastAsia="uk-ua"/>
              </w:rPr>
            </w:pPr>
            <w:r>
              <w:rPr>
                <w:szCs w:val="24"/>
                <w:lang w:val="uk-ua" w:eastAsia="uk-ua"/>
              </w:rPr>
              <w:t>Підготовка, скликання, організація та проведення дистанційних загальних зборів</w:t>
            </w:r>
          </w:p>
        </w:tc>
      </w:tr>
    </w:tbl>
    <w:p>
      <w:pPr>
        <w:spacing w:after="0" w:line="240" w:lineRule="auto"/>
        <w:rPr>
          <w:rFonts w:ascii="Times New Roman" w:hAnsi="Times New Roman" w:eastAsia="Times New Roman"/>
          <w:sz w:val="20"/>
          <w:szCs w:val="24"/>
          <w:lang w:val="uk-ua" w:eastAsia="uk-ua"/>
        </w:rPr>
      </w:pPr>
      <w:r>
        <w:rPr>
          <w:rFonts w:ascii="Times New Roman" w:hAnsi="Times New Roman" w:eastAsia="Times New Roman"/>
          <w:sz w:val="20"/>
          <w:szCs w:val="24"/>
          <w:lang w:val="uk-ua" w:eastAsia="uk-ua"/>
        </w:rPr>
      </w:r>
    </w:p>
    <w:p>
      <w:pPr>
        <w:spacing w:after="0" w:line="240" w:lineRule="auto"/>
        <w:rPr>
          <w:rFonts w:ascii="Times New Roman" w:hAnsi="Times New Roman" w:eastAsia="Times New Roman"/>
          <w:sz w:val="20"/>
          <w:szCs w:val="24"/>
          <w:lang w:val="uk-ua" w:eastAsia="uk-ua"/>
        </w:rPr>
      </w:pPr>
      <w:r>
        <w:rPr>
          <w:rFonts w:ascii="Times New Roman" w:hAnsi="Times New Roman" w:eastAsia="Times New Roman"/>
          <w:sz w:val="20"/>
          <w:szCs w:val="24"/>
          <w:lang w:val="uk-ua" w:eastAsia="uk-ua"/>
        </w:rPr>
      </w:r>
    </w:p>
    <w:p>
      <w:pPr>
        <w:spacing w:after="0" w:line="240" w:lineRule="auto"/>
        <w:rPr>
          <w:rFonts w:ascii="Times New Roman" w:hAnsi="Times New Roman" w:eastAsia="Times New Roman"/>
          <w:sz w:val="20"/>
          <w:szCs w:val="24"/>
          <w:lang w:val="uk-ua" w:eastAsia="uk-ua"/>
        </w:rPr>
      </w:pPr>
      <w:r>
        <w:rPr>
          <w:rFonts w:ascii="Times New Roman" w:hAnsi="Times New Roman" w:eastAsia="Times New Roman"/>
          <w:sz w:val="20"/>
          <w:szCs w:val="24"/>
          <w:lang w:val="uk-ua"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18"/>
          <w:footerReference w:type="default" r:id="rId19"/>
          <w:type w:val="nextPage"/>
          <w:pgSz w:h="16838" w:w="11906"/>
          <w:pgMar w:left="1417" w:top="363" w:right="567" w:bottom="363"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spacing w:after="60" w:line="240" w:lineRule="auto"/>
        <w:jc w:val="center"/>
        <w:outlineLvl w:val="0"/>
        <w:rPr>
          <w:rFonts w:ascii="Times New Roman" w:hAnsi="Times New Roman" w:eastAsia="Times New Roman"/>
          <w:b/>
          <w:bCs/>
          <w:sz w:val="28"/>
          <w:szCs w:val="28"/>
          <w:lang w:val="uk-ua" w:eastAsia="uk-ua"/>
        </w:rPr>
      </w:pPr>
      <w:r/>
      <w:bookmarkStart w:id="7" w:name="_Toc210042932"/>
      <w:r/>
      <w:r>
        <w:rPr>
          <w:rFonts w:ascii="Times New Roman" w:hAnsi="Times New Roman" w:eastAsia="Times New Roman"/>
          <w:b/>
          <w:bCs/>
          <w:sz w:val="28"/>
          <w:szCs w:val="28"/>
          <w:lang w:val="uk-ua" w:eastAsia="uk-ua"/>
        </w:rPr>
        <w:t>II. Інформація щодо капіталу та цінних паперів</w:t>
      </w:r>
      <w:r/>
      <w:bookmarkEnd w:id="7"/>
      <w:r/>
      <w:r>
        <w:rPr>
          <w:rFonts w:ascii="Times New Roman" w:hAnsi="Times New Roman" w:eastAsia="Times New Roman"/>
          <w:b/>
          <w:bCs/>
          <w:sz w:val="28"/>
          <w:szCs w:val="28"/>
          <w:lang w:val="uk-ua" w:eastAsia="uk-ua"/>
        </w:rPr>
      </w:r>
    </w:p>
    <w:p>
      <w:pPr>
        <w:spacing w:before="240" w:after="60" w:line="240" w:lineRule="auto"/>
        <w:jc w:val="center"/>
        <w:outlineLvl w:val="0"/>
        <w:rPr>
          <w:rFonts w:ascii="Times New Roman" w:hAnsi="Times New Roman" w:eastAsia="Times New Roman"/>
          <w:b/>
          <w:bCs/>
          <w:vanish w:val="1"/>
          <w:color w:val="000000"/>
          <w:kern w:val="0"/>
          <w:sz w:val="24"/>
          <w:szCs w:val="24"/>
          <w:lang w:val="uk-ua" w:eastAsia="uk-ua"/>
        </w:rPr>
      </w:pPr>
      <w:r/>
      <w:bookmarkStart w:id="8" w:name="_Toc210042933"/>
      <w:r/>
      <w:r>
        <w:rPr>
          <w:rFonts w:ascii="Times New Roman" w:hAnsi="Times New Roman" w:eastAsia="Times New Roman"/>
          <w:b/>
          <w:bCs/>
          <w:kern w:val="0"/>
          <w:sz w:val="24"/>
          <w:szCs w:val="24"/>
          <w:lang w:val="uk-ua" w:eastAsia="uk-ua"/>
        </w:rPr>
        <w:t>1. Структура капіталу</w:t>
      </w:r>
      <w:r/>
      <w:bookmarkEnd w:id="8"/>
      <w:r/>
      <w:r>
        <w:rPr>
          <w:rFonts w:ascii="Times New Roman" w:hAnsi="Times New Roman" w:eastAsia="Times New Roman"/>
          <w:b/>
          <w:bCs/>
          <w:vanish w:val="1"/>
          <w:color w:val="000000"/>
          <w:kern w:val="0"/>
          <w:sz w:val="24"/>
          <w:szCs w:val="24"/>
          <w:lang w:val="uk-ua" w:eastAsia="uk-ua"/>
        </w:rPr>
      </w:r>
    </w:p>
    <w:p>
      <w:pPr>
        <w:spacing w:after="0" w:line="240" w:lineRule="auto"/>
        <w:rPr>
          <w:rFonts w:ascii="Times New Roman" w:hAnsi="Times New Roman" w:eastAsia="Times New Roman"/>
          <w:vanish w:val="1"/>
          <w:color w:val="000000"/>
          <w:sz w:val="24"/>
          <w:szCs w:val="24"/>
          <w:lang w:val="uk-ua" w:eastAsia="uk-ua"/>
        </w:rPr>
      </w:pPr>
      <w:r>
        <w:rPr>
          <w:rFonts w:ascii="Times New Roman" w:hAnsi="Times New Roman" w:eastAsia="Times New Roman"/>
          <w:vanish w:val="1"/>
          <w:color w:val="000000"/>
          <w:sz w:val="24"/>
          <w:szCs w:val="24"/>
          <w:lang w:val="uk-ua" w:eastAsia="uk-ua"/>
        </w:rPr>
      </w:r>
    </w:p>
    <w:tbl>
      <w:tblPr>
        <w:tblStyle w:val="NormalTable"/>
        <w:name w:val="Таблица22"/>
        <w:tabOrder w:val="0"/>
        <w:jc w:val="left"/>
        <w:tblInd w:w="195" w:type="dxa"/>
        <w:tblW w:w="15838" w:type="dxa"/>
        <w:tblLook w:val="0000" w:firstRow="0" w:lastRow="0" w:firstColumn="0" w:lastColumn="0" w:noHBand="0" w:noVBand="0"/>
      </w:tblPr>
      <w:tblGrid>
        <w:gridCol w:w="460"/>
        <w:gridCol w:w="2479"/>
        <w:gridCol w:w="1977"/>
        <w:gridCol w:w="1567"/>
        <w:gridCol w:w="1417"/>
        <w:gridCol w:w="3133"/>
        <w:gridCol w:w="2537"/>
        <w:gridCol w:w="2268"/>
      </w:tblGrid>
      <w:tr>
        <w:trPr>
          <w:cantSplit w:val="0"/>
          <w:trHeight w:val="0" w:hRule="auto"/>
        </w:trPr>
        <w:tc>
          <w:tcPr>
            <w:tcW w:w="460"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w:t>
            </w:r>
          </w:p>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з/п</w:t>
            </w:r>
          </w:p>
        </w:tc>
        <w:tc>
          <w:tcPr>
            <w:tcW w:w="24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Тип та/або клас акцій</w:t>
            </w:r>
            <w:r>
              <w:rPr>
                <w:rFonts w:ascii="Times New Roman" w:hAnsi="Times New Roman" w:eastAsia="Times New Roman"/>
                <w:b/>
                <w:bCs/>
                <w:sz w:val="20"/>
                <w:szCs w:val="20"/>
                <w:lang w:val="uk-ua" w:eastAsia="uk-ua"/>
              </w:rPr>
            </w:r>
          </w:p>
        </w:tc>
        <w:tc>
          <w:tcPr>
            <w:tcW w:w="1977"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42" w:firstLine="142"/>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Номер свідоцтва про реєстрацію випуску</w:t>
            </w:r>
          </w:p>
        </w:tc>
        <w:tc>
          <w:tcPr>
            <w:tcW w:w="156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42" w:firstLine="142"/>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Кількість акцій (шт.)</w:t>
            </w:r>
            <w:r>
              <w:rPr>
                <w:rFonts w:ascii="Times New Roman" w:hAnsi="Times New Roman" w:eastAsia="Times New Roman"/>
                <w:b/>
                <w:bCs/>
                <w:sz w:val="20"/>
                <w:szCs w:val="20"/>
                <w:lang w:val="uk-ua" w:eastAsia="uk-ua"/>
              </w:rPr>
            </w:r>
          </w:p>
        </w:tc>
        <w:tc>
          <w:tcPr>
            <w:tcW w:w="141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Номінальна вартість (грн)</w:t>
            </w:r>
            <w:r>
              <w:rPr>
                <w:rFonts w:ascii="Times New Roman" w:hAnsi="Times New Roman" w:eastAsia="Times New Roman"/>
                <w:b/>
                <w:bCs/>
                <w:sz w:val="20"/>
                <w:szCs w:val="20"/>
                <w:lang w:val="uk-ua" w:eastAsia="uk-ua"/>
              </w:rPr>
            </w:r>
          </w:p>
        </w:tc>
        <w:tc>
          <w:tcPr>
            <w:tcW w:w="313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Права та обов'язки</w:t>
            </w:r>
          </w:p>
        </w:tc>
        <w:tc>
          <w:tcPr>
            <w:tcW w:w="2537"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c>
          <w:tcPr>
            <w:tcW w:w="22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sz w:val="20"/>
                <w:szCs w:val="20"/>
                <w:lang w:val="uk-ua" w:eastAsia="uk-ua"/>
              </w:rPr>
              <w:t>Облік часток особи в обліковій системі часток</w:t>
            </w:r>
            <w:r>
              <w:rPr>
                <w:rFonts w:ascii="Times New Roman" w:hAnsi="Times New Roman" w:eastAsia="Times New Roman"/>
                <w:b/>
                <w:bCs/>
                <w:sz w:val="20"/>
                <w:szCs w:val="20"/>
                <w:lang w:val="uk-ua" w:eastAsia="uk-ua"/>
              </w:rPr>
            </w:r>
          </w:p>
        </w:tc>
      </w:tr>
      <w:tr>
        <w:trPr>
          <w:cantSplit w:val="0"/>
          <w:trHeight w:val="0" w:hRule="auto"/>
        </w:trPr>
        <w:tc>
          <w:tcPr>
            <w:tcW w:w="460"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1</w:t>
            </w:r>
          </w:p>
        </w:tc>
        <w:tc>
          <w:tcPr>
            <w:tcW w:w="24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2</w:t>
            </w:r>
          </w:p>
        </w:tc>
        <w:tc>
          <w:tcPr>
            <w:tcW w:w="1977"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3</w:t>
            </w:r>
          </w:p>
        </w:tc>
        <w:tc>
          <w:tcPr>
            <w:tcW w:w="156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4</w:t>
            </w:r>
          </w:p>
        </w:tc>
        <w:tc>
          <w:tcPr>
            <w:tcW w:w="141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5</w:t>
            </w:r>
          </w:p>
        </w:tc>
        <w:tc>
          <w:tcPr>
            <w:tcW w:w="313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6</w:t>
            </w:r>
          </w:p>
        </w:tc>
        <w:tc>
          <w:tcPr>
            <w:tcW w:w="2537"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7</w:t>
            </w:r>
          </w:p>
        </w:tc>
        <w:tc>
          <w:tcPr>
            <w:tcW w:w="22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8</w:t>
            </w:r>
          </w:p>
        </w:tc>
      </w:tr>
      <w:tr>
        <w:trPr>
          <w:cantSplit w:val="0"/>
          <w:trHeight w:val="0" w:hRule="auto"/>
        </w:trPr>
        <w:tc>
          <w:tcPr>
            <w:tcW w:w="460"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1</w:t>
            </w:r>
          </w:p>
        </w:tc>
        <w:tc>
          <w:tcPr>
            <w:tcW w:w="24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Акції прості іменні</w:t>
            </w:r>
          </w:p>
        </w:tc>
        <w:tc>
          <w:tcPr>
            <w:tcW w:w="1977"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61/1/11</w:t>
            </w:r>
          </w:p>
        </w:tc>
        <w:tc>
          <w:tcPr>
            <w:tcW w:w="156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15826400</w:t>
            </w:r>
          </w:p>
        </w:tc>
        <w:tc>
          <w:tcPr>
            <w:tcW w:w="1417"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0.25</w:t>
            </w:r>
          </w:p>
        </w:tc>
        <w:tc>
          <w:tcPr>
            <w:tcW w:w="3133"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Акціонери Товариства мають право:</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Брати участь в управлінні справами Товариства у порядку, передбаченому цим Статутом самостійно, а також через свого представника на загальних зборах акціонерів Товариства, замінити свого представника (постійного або тимчасового) в будь-який час, направляти на загальні збори Товариства свого представника (постійного або тимчасового). На представника може видаватися безвідклична довіреність.</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Вийти зі складу акціонерів Товариства у порядку згідно з діючим законодавством України.</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Отримувати інформацію про господарську діяльність Товариства та мати доступ до документації Товариства в обсягах та в порядку, встановлених законодавством.</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Приймати участь в діяльності Товариства, передбаченій цим Статутом.</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Вимагати розгляду відповідних питань на загальних зборах акціонерів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Акціонери, що володіють у сукупності не менш як 10 % голосів мають право вимагати від Ревізора перевірки фінансово-господарської діяльності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Звертатися в суд із позовом про визнання недійсними рішень загальних зборів акціонерів Товариства, які були винесені в порушення Закону, Статуту Товариства або про визнання недійсними договорів (угод), які були укладені Правлінням, або іншою особою за виданою Головою правління довіреністю (дорученням), з перевищенням повноважень, або без отримання попередньої згоди акціонерів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Приймати участь в розподілу прибутку Товариства та одержувати дивіденди пропорційно частки у статутному капіталі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Отримати частину грошових коштів, що належать Товариству, включаючи виручку від розпродажу його майна при ліквідації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Виносити на розгляд загальних зборів акціонерів питання стосовно призначення або звільнення з посади Голови правління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Розпоряджатися своїми акціями у відповідності до цього Статуту та чинного законодавства.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Обирати органи управління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Укладати договори між акціонерами, предметом  яких є  реалізація акціонерами - власниками простих та привілейованих акцій прав на акції та/або прав за акціями, передбачених законодавством, цим статутом та іншими внутрішніми документами Товариства. Вимоги до форми таких договорів, їх змісту та порядку укладання встановлюються законодавством.</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Акціонер Товариства зобов'язаний:</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Додержуватися Статуту Товариства і виконувати рішення загальних зборів акціонерів Товариства та інших органів управління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Повністю внести внески (оплатити акції) у розмірі, порядку та засобами згідно до Статуту Товариства та чинного законодавства України.</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Не розголошувати комерційну таємницю та конфіденційну інформацію про діяльність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Виконувати прийняті на себе обов'язки по відношенню до Товариства, сприяти Товариству в здійсненні ним своєї діяльності, не розголошувати конфіденційну інформацію про діяльність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Надавати Товариству інформацію, необхідну для ефективної його діяльності.</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Утримуватися від дій, що можуть заподіяти шкоду діловій репутації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На вимогу акціонерів Товариства, що володіють сукупно не менш як 10% голосів може бути проведено спеціальну аудиторську перевірку річної фінансової звітності Товариства із залученням професійного аудитора, не пов'язаного майновими інтересами з Товариством чи його акціонерами. Витрати, пов'язані з проведенням такої перевірки, покладаються на Товариство, якщо інше рішення не буде прийняте загальними зборами акціонерів.</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Акціонер у строки, встановлені загальними зборами акціонерів, але не пізніше дня затвердження результатів розміщення акцій уповноваженим органом, зобов'язаний оплатити повну вартість акцій. У разі несплати у встановлений строк договір купівлі-продажу вважається недійсним, акції пропонуються до продажу іншій особі відповідно до умов розміщення.</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Акціонери мають право дарувати, заставляти, або іншим не забороненим чинним законодавством України способом без будь-яких обмежень відчужувати всі або частину належним їм Акцій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Призначати своїх представників для Нагляду за реєстрацією акціонерів, проведенням загальних зборів акціонерів, голосуванням та підбиттям його підсумків в порядку, встановленому законодавством.</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Кожний акціонер Товариства має право вимагати здійснення обов'язкового викупу Товариством належних йому голосуючих акцій, а Товариство зобов'язане викупити належні акціонеру акції, якщо він зареєструвався для участі у Загальних зборах та голосував проти прийняття Загальними зборами рішення про: </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злиття, приєднання, поділ, перетворення, виділ Товариства; </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вчинення Товариством значного правочину; </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 зміну розміру статутного капіталу Товариства.</w:t>
            </w:r>
          </w:p>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r>
          </w:p>
        </w:tc>
        <w:tc>
          <w:tcPr>
            <w:tcW w:w="2537"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eastAsia="uk-ua"/>
              </w:rPr>
              <w:t>Публ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чна пропозиц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дсутня, до 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ржового реєстру не включен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r>
          </w:p>
        </w:tc>
        <w:tc>
          <w:tcPr>
            <w:tcW w:w="2268" w:type="dxa"/>
            <w:vAlign w:val="center"/>
            <w:tcMar>
              <w:top w:w="15" w:type="dxa"/>
              <w:left w:w="15" w:type="dxa"/>
              <w:bottom w:w="15" w:type="dxa"/>
              <w:right w:w="1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щодо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ку часток Товариства в 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систем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часток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дсутня у зв'язку з тим, що Ем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тент не є товариством з обмеженою або додатковою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дальн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стю</w:t>
            </w:r>
            <w:r>
              <w:rPr>
                <w:rFonts w:ascii="Times New Roman" w:hAnsi="Times New Roman" w:eastAsia="Times New Roman"/>
                <w:sz w:val="20"/>
                <w:szCs w:val="20"/>
                <w:lang w:eastAsia="uk-ua"/>
              </w:rPr>
            </w:r>
          </w:p>
        </w:tc>
      </w:tr>
    </w:tbl>
    <w:p>
      <w:pPr>
        <w:spacing w:after="0" w:line="240" w:lineRule="auto"/>
        <w:rPr>
          <w:rFonts w:ascii="Times New Roman" w:hAnsi="Times New Roman" w:eastAsia="Times New Roman"/>
          <w:sz w:val="24"/>
          <w:szCs w:val="24"/>
          <w:lang w:val="uk-ua" w:eastAsia="uk-ua"/>
        </w:rPr>
      </w:pPr>
      <w:r>
        <w:rPr>
          <w:rFonts w:ascii="Times New Roman" w:hAnsi="Times New Roman" w:eastAsia="Times New Roman"/>
          <w:sz w:val="24"/>
          <w:szCs w:val="24"/>
          <w:lang w:val="uk-ua" w:eastAsia="uk-ua"/>
        </w:rPr>
      </w:r>
    </w:p>
    <w:p>
      <w:pPr>
        <w:spacing w:after="0" w:line="240" w:lineRule="auto"/>
        <w:jc w:val="center"/>
        <w:outlineLvl w:val="0"/>
        <w:rPr>
          <w:rFonts w:ascii="Times New Roman" w:hAnsi="Times New Roman" w:eastAsia="Times New Roman"/>
          <w:b/>
          <w:bCs/>
          <w:kern w:val="0"/>
          <w:sz w:val="26"/>
          <w:szCs w:val="26"/>
          <w:lang w:val="uk-ua" w:eastAsia="uk-ua"/>
        </w:rPr>
      </w:pPr>
      <w:r/>
      <w:bookmarkStart w:id="9" w:name="_Toc210042934"/>
      <w:r/>
      <w:r>
        <w:rPr>
          <w:rFonts w:ascii="Times New Roman" w:hAnsi="Times New Roman" w:eastAsia="Times New Roman"/>
          <w:b/>
          <w:bCs/>
          <w:kern w:val="0"/>
          <w:sz w:val="26"/>
          <w:szCs w:val="26"/>
          <w:lang w:val="uk-ua" w:eastAsia="uk-ua"/>
        </w:rPr>
        <w:t>3. Цінні папери</w:t>
      </w:r>
      <w:r/>
      <w:bookmarkEnd w:id="9"/>
      <w:r/>
      <w:r>
        <w:rPr>
          <w:rFonts w:ascii="Times New Roman" w:hAnsi="Times New Roman" w:eastAsia="Times New Roman"/>
          <w:b/>
          <w:bCs/>
          <w:kern w:val="0"/>
          <w:sz w:val="26"/>
          <w:szCs w:val="26"/>
          <w:lang w:val="uk-ua" w:eastAsia="uk-ua"/>
        </w:rPr>
      </w:r>
    </w:p>
    <w:p>
      <w:pPr>
        <w:spacing w:after="0" w:line="240" w:lineRule="auto"/>
        <w:jc w:val="center"/>
        <w:rPr>
          <w:rFonts w:ascii="Times New Roman" w:hAnsi="Times New Roman" w:eastAsia="Times New Roman"/>
          <w:b/>
          <w:sz w:val="24"/>
          <w:szCs w:val="24"/>
          <w:lang w:val="uk-ua" w:eastAsia="uk-ua"/>
        </w:rPr>
      </w:pPr>
      <w:r>
        <w:rPr>
          <w:rFonts w:ascii="Times New Roman" w:hAnsi="Times New Roman" w:eastAsia="Times New Roman"/>
          <w:b/>
          <w:sz w:val="24"/>
          <w:szCs w:val="24"/>
          <w:lang w:val="uk-ua" w:eastAsia="uk-ua"/>
        </w:rPr>
        <w:t>Інформація про випуски акцій особи</w:t>
      </w:r>
    </w:p>
    <w:p>
      <w:pPr>
        <w:spacing w:after="0" w:line="240" w:lineRule="auto"/>
        <w:jc w:val="center"/>
        <w:rPr>
          <w:rFonts w:ascii="Times New Roman" w:hAnsi="Times New Roman" w:eastAsia="Times New Roman"/>
          <w:vanish w:val="1"/>
          <w:color w:val="000000"/>
          <w:sz w:val="8"/>
          <w:szCs w:val="8"/>
          <w:lang w:val="uk-ua" w:eastAsia="uk-ua"/>
        </w:rPr>
      </w:pPr>
      <w:r>
        <w:rPr>
          <w:rFonts w:ascii="Times New Roman" w:hAnsi="Times New Roman" w:eastAsia="Times New Roman"/>
          <w:vanish w:val="1"/>
          <w:color w:val="000000"/>
          <w:sz w:val="8"/>
          <w:szCs w:val="8"/>
          <w:lang w:val="uk-ua" w:eastAsia="uk-ua"/>
        </w:rPr>
      </w:r>
    </w:p>
    <w:tbl>
      <w:tblPr>
        <w:tblStyle w:val="NormalTable"/>
        <w:name w:val="Таблица23"/>
        <w:tabOrder w:val="0"/>
        <w:jc w:val="left"/>
        <w:tblInd w:w="240" w:type="dxa"/>
        <w:tblW w:w="15870" w:type="dxa"/>
        <w:tblLook w:val="0000" w:firstRow="0" w:lastRow="0" w:firstColumn="0" w:lastColumn="0" w:noHBand="0" w:noVBand="0"/>
      </w:tblPr>
      <w:tblGrid>
        <w:gridCol w:w="1379"/>
        <w:gridCol w:w="1679"/>
        <w:gridCol w:w="1579"/>
        <w:gridCol w:w="1842"/>
        <w:gridCol w:w="1700"/>
        <w:gridCol w:w="1922"/>
        <w:gridCol w:w="1412"/>
        <w:gridCol w:w="1469"/>
        <w:gridCol w:w="1513"/>
        <w:gridCol w:w="1375"/>
      </w:tblGrid>
      <w:tr>
        <w:trPr>
          <w:cantSplit w:val="0"/>
          <w:trHeight w:val="0" w:hRule="auto"/>
        </w:trPr>
        <w:tc>
          <w:tcPr>
            <w:tcW w:w="13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left="180" w:hanging="180"/>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Дата реєстрації випуску</w:t>
            </w:r>
          </w:p>
        </w:tc>
        <w:tc>
          <w:tcPr>
            <w:tcW w:w="16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Номер свідоцтва про реєстрацію випуску</w:t>
            </w:r>
          </w:p>
        </w:tc>
        <w:tc>
          <w:tcPr>
            <w:tcW w:w="15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Найменування органу, що зареєстрував випуск</w:t>
            </w:r>
          </w:p>
        </w:tc>
        <w:tc>
          <w:tcPr>
            <w:tcW w:w="184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Міжнародний ідентифікаційний номер</w:t>
            </w:r>
          </w:p>
        </w:tc>
        <w:tc>
          <w:tcPr>
            <w:tcW w:w="170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Тип цінного паперу</w:t>
            </w:r>
          </w:p>
        </w:tc>
        <w:tc>
          <w:tcPr>
            <w:tcW w:w="192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Форма існування та форма випуску</w:t>
            </w:r>
          </w:p>
        </w:tc>
        <w:tc>
          <w:tcPr>
            <w:tcW w:w="141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Номінальна вартість акцій (грн.)</w:t>
            </w:r>
          </w:p>
        </w:tc>
        <w:tc>
          <w:tcPr>
            <w:tcW w:w="146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Кількість акцій (штук)</w:t>
            </w:r>
          </w:p>
        </w:tc>
        <w:tc>
          <w:tcPr>
            <w:tcW w:w="1513"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Загальна номінальна вартість (грн.)</w:t>
            </w:r>
          </w:p>
        </w:tc>
        <w:tc>
          <w:tcPr>
            <w:tcW w:w="1375"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Частка у статутному капіталі (у відсотках)</w:t>
            </w:r>
          </w:p>
        </w:tc>
      </w:tr>
      <w:tr>
        <w:trPr>
          <w:cantSplit w:val="0"/>
          <w:trHeight w:val="0" w:hRule="auto"/>
        </w:trPr>
        <w:tc>
          <w:tcPr>
            <w:tcW w:w="13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1</w:t>
            </w:r>
          </w:p>
        </w:tc>
        <w:tc>
          <w:tcPr>
            <w:tcW w:w="16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2</w:t>
            </w:r>
          </w:p>
        </w:tc>
        <w:tc>
          <w:tcPr>
            <w:tcW w:w="15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3</w:t>
            </w:r>
          </w:p>
        </w:tc>
        <w:tc>
          <w:tcPr>
            <w:tcW w:w="184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4</w:t>
            </w:r>
          </w:p>
        </w:tc>
        <w:tc>
          <w:tcPr>
            <w:tcW w:w="170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5</w:t>
            </w:r>
          </w:p>
        </w:tc>
        <w:tc>
          <w:tcPr>
            <w:tcW w:w="192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6</w:t>
            </w:r>
          </w:p>
        </w:tc>
        <w:tc>
          <w:tcPr>
            <w:tcW w:w="141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7</w:t>
            </w:r>
          </w:p>
        </w:tc>
        <w:tc>
          <w:tcPr>
            <w:tcW w:w="146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8</w:t>
            </w:r>
          </w:p>
        </w:tc>
        <w:tc>
          <w:tcPr>
            <w:tcW w:w="1513"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9</w:t>
            </w:r>
          </w:p>
        </w:tc>
        <w:tc>
          <w:tcPr>
            <w:tcW w:w="1375"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10</w:t>
            </w:r>
          </w:p>
        </w:tc>
      </w:tr>
      <w:tr>
        <w:trPr>
          <w:cantSplit w:val="0"/>
          <w:trHeight w:val="0" w:hRule="auto"/>
        </w:trPr>
        <w:tc>
          <w:tcPr>
            <w:tcW w:w="13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25.01.2011</w:t>
            </w:r>
          </w:p>
        </w:tc>
        <w:tc>
          <w:tcPr>
            <w:tcW w:w="16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61/1/11</w:t>
            </w:r>
          </w:p>
        </w:tc>
        <w:tc>
          <w:tcPr>
            <w:tcW w:w="15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Державна комісія з  цінних паперів та фондового ринку</w:t>
            </w:r>
          </w:p>
        </w:tc>
        <w:tc>
          <w:tcPr>
            <w:tcW w:w="184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UA4000110167</w:t>
            </w:r>
          </w:p>
        </w:tc>
        <w:tc>
          <w:tcPr>
            <w:tcW w:w="1700"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Акція проста електронна іменна</w:t>
            </w:r>
          </w:p>
        </w:tc>
        <w:tc>
          <w:tcPr>
            <w:tcW w:w="192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Електроннi iменнi</w:t>
            </w:r>
          </w:p>
        </w:tc>
        <w:tc>
          <w:tcPr>
            <w:tcW w:w="1412"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0.25</w:t>
            </w:r>
          </w:p>
        </w:tc>
        <w:tc>
          <w:tcPr>
            <w:tcW w:w="146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15826400</w:t>
            </w:r>
          </w:p>
        </w:tc>
        <w:tc>
          <w:tcPr>
            <w:tcW w:w="1513"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3956600.00</w:t>
            </w:r>
          </w:p>
        </w:tc>
        <w:tc>
          <w:tcPr>
            <w:tcW w:w="1375"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Cs/>
                <w:sz w:val="20"/>
                <w:szCs w:val="20"/>
                <w:lang w:val="uk-ua" w:eastAsia="uk-ua"/>
              </w:rPr>
            </w:pPr>
            <w:r>
              <w:rPr>
                <w:rFonts w:ascii="Times New Roman" w:hAnsi="Times New Roman" w:eastAsia="Times New Roman"/>
                <w:bCs/>
                <w:sz w:val="20"/>
                <w:szCs w:val="20"/>
                <w:lang w:val="uk-ua" w:eastAsia="uk-ua"/>
              </w:rPr>
              <w:t>100.00000000</w:t>
            </w:r>
          </w:p>
        </w:tc>
      </w:tr>
      <w:tr>
        <w:trPr>
          <w:cantSplit w:val="0"/>
          <w:trHeight w:val="0" w:hRule="auto"/>
        </w:trPr>
        <w:tc>
          <w:tcPr>
            <w:tcW w:w="1379" w:type="dxa"/>
            <w:vAlign w:val="center"/>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rPr>
                <w:rFonts w:ascii="Times New Roman" w:hAnsi="Times New Roman" w:eastAsia="Times New Roman"/>
                <w:b/>
                <w:bCs/>
                <w:sz w:val="20"/>
                <w:szCs w:val="20"/>
                <w:lang w:val="uk-ua" w:eastAsia="uk-ua"/>
              </w:rPr>
            </w:pPr>
            <w:r>
              <w:rPr>
                <w:rFonts w:ascii="Times New Roman" w:hAnsi="Times New Roman" w:eastAsia="Times New Roman"/>
                <w:b/>
                <w:bCs/>
                <w:sz w:val="20"/>
                <w:szCs w:val="20"/>
                <w:lang w:val="uk-ua" w:eastAsia="uk-ua"/>
              </w:rPr>
              <w:t>Опис</w:t>
            </w:r>
          </w:p>
        </w:tc>
        <w:tc>
          <w:tcPr>
            <w:tcW w:w="14493" w:type="dxa"/>
            <w:gridSpan w:val="9"/>
            <w:tcMar>
              <w:top w:w="60" w:type="dxa"/>
              <w:left w:w="60" w:type="dxa"/>
              <w:bottom w:w="60" w:type="dxa"/>
              <w:right w:w="6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rPr>
                <w:rFonts w:ascii="Times New Roman" w:hAnsi="Times New Roman" w:eastAsia="Times New Roman"/>
                <w:b/>
                <w:bCs/>
                <w:sz w:val="20"/>
                <w:szCs w:val="20"/>
                <w:lang w:val="uk-ua" w:eastAsia="uk-ua"/>
              </w:rPr>
            </w:pPr>
            <w:r>
              <w:rPr>
                <w:rFonts w:ascii="Times New Roman" w:hAnsi="Times New Roman" w:eastAsia="Times New Roman"/>
                <w:bCs/>
                <w:sz w:val="20"/>
                <w:szCs w:val="20"/>
                <w:lang w:val="uk-ua" w:eastAsia="uk-ua"/>
              </w:rPr>
              <w:t>Торгівля акціями на внутрішніх та зовнішніх ринках не здійснювалась; лістинг/делістинг акцій на фондових біржах не проводився; додаткова емісія та викуп цінних паперів протягом звітного року не відбувались. Всі акції розповсюджені та оплачені. Акції власної емісії протягом звітного року не викупались. Спосіб розміщення - відкрита підписка в процесі приватизації. Мета розмiщення цiнних паперiв - поповнення обiгових коштiв Товариства.</w:t>
            </w:r>
            <w:r>
              <w:rPr>
                <w:rFonts w:ascii="Times New Roman" w:hAnsi="Times New Roman" w:eastAsia="Times New Roman"/>
                <w:b/>
                <w:bCs/>
                <w:sz w:val="20"/>
                <w:szCs w:val="20"/>
                <w:lang w:val="uk-ua" w:eastAsia="uk-ua"/>
              </w:rPr>
            </w:r>
          </w:p>
        </w:tc>
      </w:tr>
    </w:tbl>
    <w:p>
      <w:pPr>
        <w:spacing w:after="0" w:line="240" w:lineRule="auto"/>
        <w:rPr>
          <w:rFonts w:ascii="Times New Roman" w:hAnsi="Times New Roman" w:eastAsia="Times New Roman"/>
          <w:sz w:val="24"/>
          <w:szCs w:val="24"/>
          <w:lang w:val="uk-ua" w:eastAsia="uk-ua"/>
        </w:rPr>
      </w:pPr>
      <w:r>
        <w:rPr>
          <w:rFonts w:ascii="Times New Roman" w:hAnsi="Times New Roman" w:eastAsia="Times New Roman"/>
          <w:sz w:val="24"/>
          <w:szCs w:val="24"/>
          <w:lang w:val="uk-ua" w:eastAsia="uk-ua"/>
        </w:rPr>
      </w:r>
    </w:p>
    <w:p>
      <w:pPr>
        <w:spacing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Уточнення щодо наявності обмежень за акціями</w:t>
      </w:r>
    </w:p>
    <w:tbl>
      <w:tblPr>
        <w:tblStyle w:val="NormalTable"/>
        <w:name w:val="Таблица24"/>
        <w:tabOrder w:val="0"/>
        <w:jc w:val="left"/>
        <w:tblInd w:w="0" w:type="dxa"/>
        <w:tblW w:w="16111" w:type="dxa"/>
        <w:tblLook w:val="0000" w:firstRow="0" w:lastRow="0" w:firstColumn="0" w:lastColumn="0" w:noHBand="0" w:noVBand="0"/>
      </w:tblPr>
      <w:tblGrid>
        <w:gridCol w:w="3931"/>
        <w:gridCol w:w="4221"/>
        <w:gridCol w:w="3947"/>
        <w:gridCol w:w="4012"/>
      </w:tblGrid>
      <w:tr>
        <w:trPr>
          <w:cantSplit w:val="0"/>
          <w:trHeight w:val="60" w:hRule="atLeast"/>
        </w:trPr>
        <w:tc>
          <w:tcPr>
            <w:tcW w:w="1220"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Міжнародний ідентифікаційний номер</w:t>
            </w:r>
          </w:p>
        </w:tc>
        <w:tc>
          <w:tcPr>
            <w:tcW w:w="1310"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Кількість акцій (з них голосуючих), шт.</w:t>
            </w:r>
          </w:p>
        </w:tc>
        <w:tc>
          <w:tcPr>
            <w:tcW w:w="1225"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Кількість викуплених акцій</w:t>
            </w:r>
          </w:p>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(кількість акцій прирівняних до викуплених), шт.</w:t>
            </w:r>
          </w:p>
        </w:tc>
        <w:tc>
          <w:tcPr>
            <w:tcW w:w="1245"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Кількість інших не голосуючих акцій, шт.</w:t>
            </w:r>
          </w:p>
        </w:tc>
      </w:tr>
      <w:tr>
        <w:trPr>
          <w:cantSplit w:val="0"/>
          <w:trHeight w:val="60" w:hRule="atLeast"/>
        </w:trPr>
        <w:tc>
          <w:tcPr>
            <w:tcW w:w="1220"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1</w:t>
            </w:r>
          </w:p>
        </w:tc>
        <w:tc>
          <w:tcPr>
            <w:tcW w:w="1310"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2</w:t>
            </w:r>
          </w:p>
        </w:tc>
        <w:tc>
          <w:tcPr>
            <w:tcW w:w="1225"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3</w:t>
            </w:r>
          </w:p>
        </w:tc>
        <w:tc>
          <w:tcPr>
            <w:tcW w:w="1245"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4</w:t>
            </w:r>
          </w:p>
        </w:tc>
      </w:tr>
      <w:tr>
        <w:trPr>
          <w:cantSplit w:val="0"/>
          <w:trHeight w:val="60" w:hRule="atLeast"/>
        </w:trPr>
        <w:tc>
          <w:tcPr>
            <w:tcW w:w="1220"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UA4000110167</w:t>
            </w:r>
          </w:p>
        </w:tc>
        <w:tc>
          <w:tcPr>
            <w:tcW w:w="1310"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15298070</w:t>
            </w:r>
          </w:p>
        </w:tc>
        <w:tc>
          <w:tcPr>
            <w:tcW w:w="1225"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0</w:t>
            </w:r>
          </w:p>
        </w:tc>
        <w:tc>
          <w:tcPr>
            <w:tcW w:w="1245" w:type="pct"/>
            <w:vAlign w:val="center"/>
            <w:tcMar>
              <w:top w:w="45" w:type="dxa"/>
              <w:left w:w="57" w:type="dxa"/>
              <w:bottom w:w="57"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0</w:t>
            </w:r>
          </w:p>
        </w:tc>
      </w:tr>
    </w:tbl>
    <w:p>
      <w:pPr>
        <w:spacing w:after="0"/>
        <w:rPr>
          <w:rFonts w:ascii="Times New Roman" w:hAnsi="Times New Roman" w:eastAsia="Times New Roman"/>
          <w:lang w:val="en-us" w:eastAsia="uk-ua"/>
        </w:rPr>
      </w:pPr>
      <w:r>
        <w:rPr>
          <w:rFonts w:ascii="Times New Roman" w:hAnsi="Times New Roman" w:eastAsia="Times New Roman"/>
          <w:lang w:val="en-us" w:eastAsia="uk-ua"/>
        </w:rPr>
      </w:r>
    </w:p>
    <w:p>
      <w:pPr>
        <w:spacing w:before="170"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Style w:val="NormalTable"/>
        <w:name w:val="Таблица25"/>
        <w:tabOrder w:val="0"/>
        <w:jc w:val="left"/>
        <w:tblInd w:w="0" w:type="dxa"/>
        <w:tblW w:w="15842" w:type="dxa"/>
        <w:tblLook w:val="01E0" w:firstRow="1" w:lastRow="1" w:firstColumn="1" w:lastColumn="1" w:noHBand="0" w:noVBand="0"/>
      </w:tblPr>
      <w:tblGrid>
        <w:gridCol w:w="1384"/>
        <w:gridCol w:w="1843"/>
        <w:gridCol w:w="1907"/>
        <w:gridCol w:w="2141"/>
        <w:gridCol w:w="2142"/>
        <w:gridCol w:w="2141"/>
        <w:gridCol w:w="2142"/>
        <w:gridCol w:w="2142"/>
      </w:tblGrid>
      <w:tr>
        <w:trPr>
          <w:cantSplit w:val="0"/>
          <w:trHeight w:val="1214" w:hRule="atLeast"/>
        </w:trPr>
        <w:tc>
          <w:tcPr>
            <w:tcW w:w="1384"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Дата реєстрації випуску</w:t>
            </w:r>
          </w:p>
        </w:tc>
        <w:tc>
          <w:tcPr>
            <w:tcW w:w="1843"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Номер свідоцтва про реєстрацію випуску</w:t>
            </w:r>
          </w:p>
        </w:tc>
        <w:tc>
          <w:tcPr>
            <w:tcW w:w="190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Міжнародний ідентифікаційний номер</w:t>
            </w:r>
          </w:p>
        </w:tc>
        <w:tc>
          <w:tcPr>
            <w:tcW w:w="2141"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Кількість акцій у випуску (шт.)</w:t>
            </w:r>
          </w:p>
        </w:tc>
        <w:tc>
          <w:tcPr>
            <w:tcW w:w="214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Загальна номінальна вартість (грн)</w:t>
            </w:r>
          </w:p>
        </w:tc>
        <w:tc>
          <w:tcPr>
            <w:tcW w:w="2141"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Загальна кількість голосуючих акцій (шт.)</w:t>
            </w:r>
          </w:p>
        </w:tc>
        <w:tc>
          <w:tcPr>
            <w:tcW w:w="214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Кількість голосуючих акцій, права голосу за якими обмежено (шт.)</w:t>
            </w:r>
          </w:p>
        </w:tc>
        <w:tc>
          <w:tcPr>
            <w:tcW w:w="214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tabs defTabSz="708">
                <w:tab w:val="left" w:pos="1035" w:leader="none"/>
              </w:tabs>
              <w:rPr>
                <w:rFonts w:ascii="Times New Roman" w:hAnsi="Times New Roman" w:eastAsia="Times New Roman"/>
                <w:b/>
                <w:color w:val="000000"/>
                <w:sz w:val="18"/>
                <w:szCs w:val="18"/>
                <w:noProof w:val="1"/>
                <w:lang w:eastAsia="uk-ua"/>
              </w:rPr>
            </w:pPr>
            <w:r>
              <w:rPr>
                <w:rFonts w:ascii="Times New Roman" w:hAnsi="Times New Roman" w:eastAsia="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r>
              <w:rPr>
                <w:rFonts w:ascii="Times New Roman" w:hAnsi="Times New Roman" w:eastAsia="Times New Roman"/>
                <w:b/>
                <w:color w:val="000000"/>
                <w:sz w:val="18"/>
                <w:szCs w:val="18"/>
                <w:noProof w:val="1"/>
                <w:lang w:eastAsia="uk-ua"/>
              </w:rPr>
            </w:r>
          </w:p>
        </w:tc>
      </w:tr>
      <w:tr>
        <w:trPr>
          <w:cantSplit w:val="0"/>
          <w:trHeight w:val="342" w:hRule="atLeast"/>
        </w:trPr>
        <w:tc>
          <w:tcPr>
            <w:tcW w:w="1384"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1</w:t>
            </w:r>
          </w:p>
        </w:tc>
        <w:tc>
          <w:tcPr>
            <w:tcW w:w="1843"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2</w:t>
            </w:r>
          </w:p>
        </w:tc>
        <w:tc>
          <w:tcPr>
            <w:tcW w:w="190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3</w:t>
            </w:r>
          </w:p>
        </w:tc>
        <w:tc>
          <w:tcPr>
            <w:tcW w:w="2141"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4</w:t>
            </w:r>
          </w:p>
        </w:tc>
        <w:tc>
          <w:tcPr>
            <w:tcW w:w="214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5</w:t>
            </w:r>
          </w:p>
        </w:tc>
        <w:tc>
          <w:tcPr>
            <w:tcW w:w="2141"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6</w:t>
            </w:r>
          </w:p>
        </w:tc>
        <w:tc>
          <w:tcPr>
            <w:tcW w:w="214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7</w:t>
            </w:r>
          </w:p>
        </w:tc>
        <w:tc>
          <w:tcPr>
            <w:tcW w:w="214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8</w:t>
            </w:r>
          </w:p>
        </w:tc>
      </w:tr>
      <w:tr>
        <w:trPr>
          <w:cantSplit w:val="0"/>
          <w:trHeight w:val="342" w:hRule="atLeast"/>
        </w:trPr>
        <w:tc>
          <w:tcPr>
            <w:tcW w:w="1384"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25.01.2011</w:t>
            </w:r>
          </w:p>
        </w:tc>
        <w:tc>
          <w:tcPr>
            <w:tcW w:w="1843"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61/1/11</w:t>
            </w:r>
          </w:p>
        </w:tc>
        <w:tc>
          <w:tcPr>
            <w:tcW w:w="190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UA4000110167</w:t>
            </w:r>
          </w:p>
        </w:tc>
        <w:tc>
          <w:tcPr>
            <w:tcW w:w="2141"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15826400</w:t>
            </w:r>
          </w:p>
        </w:tc>
        <w:tc>
          <w:tcPr>
            <w:tcW w:w="214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3956600.00</w:t>
            </w:r>
          </w:p>
        </w:tc>
        <w:tc>
          <w:tcPr>
            <w:tcW w:w="2141"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15298070</w:t>
            </w:r>
          </w:p>
        </w:tc>
        <w:tc>
          <w:tcPr>
            <w:tcW w:w="214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w:t>
            </w:r>
          </w:p>
        </w:tc>
        <w:tc>
          <w:tcPr>
            <w:tcW w:w="214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0</w:t>
            </w:r>
          </w:p>
        </w:tc>
      </w:tr>
      <w:tr>
        <w:trPr>
          <w:cantSplit w:val="0"/>
          <w:trHeight w:val="342" w:hRule="atLeast"/>
        </w:trPr>
        <w:tc>
          <w:tcPr>
            <w:tcW w:w="1384"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Додаткова інформація</w:t>
            </w:r>
          </w:p>
        </w:tc>
        <w:tc>
          <w:tcPr>
            <w:tcW w:w="14458" w:type="dxa"/>
            <w:gridSpan w:val="7"/>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Номер рішення суду або уповноваженого державного органу, яким накладено обмеження : д/н</w:t>
            </w:r>
          </w:p>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Cтрок обмеження : д/н</w:t>
            </w:r>
          </w:p>
          <w:p>
            <w:pPr>
              <w:spacing w:after="0" w:line="240" w:lineRule="auto"/>
              <w:rPr>
                <w:rFonts w:ascii="Times New Roman" w:hAnsi="Times New Roman" w:eastAsia="Times New Roman"/>
                <w:b/>
                <w:sz w:val="20"/>
                <w:szCs w:val="20"/>
                <w:lang w:val="uk-ua" w:eastAsia="uk-ua"/>
              </w:rPr>
            </w:pPr>
            <w:r>
              <w:rPr>
                <w:rFonts w:ascii="Times New Roman" w:hAnsi="Times New Roman" w:eastAsia="Times New Roman"/>
                <w:sz w:val="20"/>
                <w:szCs w:val="20"/>
                <w:lang w:val="uk-ua" w:eastAsia="uk-ua"/>
              </w:rPr>
              <w:t>Характеристика обмеження : д/н</w:t>
            </w:r>
            <w:r>
              <w:rPr>
                <w:rFonts w:ascii="Times New Roman" w:hAnsi="Times New Roman" w:eastAsia="Times New Roman"/>
                <w:b/>
                <w:sz w:val="20"/>
                <w:szCs w:val="20"/>
                <w:lang w:val="uk-ua" w:eastAsia="uk-ua"/>
              </w:rPr>
            </w:r>
          </w:p>
        </w:tc>
      </w:tr>
    </w:tbl>
    <w:p>
      <w:pPr>
        <w:spacing w:after="0" w:line="240" w:lineRule="auto"/>
        <w:rPr>
          <w:rFonts w:ascii="Times New Roman" w:hAnsi="Times New Roman" w:eastAsia="Times New Roman"/>
          <w:sz w:val="24"/>
          <w:szCs w:val="24"/>
          <w:lang w:eastAsia="uk-ua"/>
        </w:rPr>
      </w:pPr>
      <w:r>
        <w:rPr>
          <w:rFonts w:ascii="Times New Roman" w:hAnsi="Times New Roman" w:eastAsia="Times New Roman"/>
          <w:sz w:val="24"/>
          <w:szCs w:val="24"/>
          <w:lang w:eastAsia="uk-ua"/>
        </w:rPr>
      </w:r>
    </w:p>
    <w:p>
      <w:pPr>
        <w:spacing w:after="60" w:line="240" w:lineRule="auto"/>
        <w:jc w:val="center"/>
        <w:outlineLvl w:val="0"/>
        <w:rPr>
          <w:rFonts w:ascii="Times New Roman" w:hAnsi="Times New Roman" w:eastAsia="Times New Roman"/>
          <w:b/>
          <w:bCs/>
          <w:sz w:val="28"/>
          <w:szCs w:val="28"/>
          <w:lang w:val="uk-ua" w:eastAsia="uk-ua"/>
        </w:rPr>
      </w:pPr>
      <w:r/>
      <w:bookmarkStart w:id="10" w:name="_Toc210042935"/>
      <w:r/>
      <w:r>
        <w:rPr>
          <w:rFonts w:ascii="Times New Roman" w:hAnsi="Times New Roman" w:eastAsia="Times New Roman"/>
          <w:b/>
          <w:bCs/>
          <w:sz w:val="28"/>
          <w:szCs w:val="28"/>
          <w:lang w:val="en-us" w:eastAsia="uk-ua"/>
        </w:rPr>
        <w:t>III</w:t>
      </w:r>
      <w:r>
        <w:rPr>
          <w:rFonts w:ascii="Times New Roman" w:hAnsi="Times New Roman" w:eastAsia="Times New Roman"/>
          <w:b/>
          <w:bCs/>
          <w:sz w:val="28"/>
          <w:szCs w:val="28"/>
          <w:lang w:eastAsia="uk-ua"/>
        </w:rPr>
        <w:t xml:space="preserve">. </w:t>
      </w:r>
      <w:r>
        <w:rPr>
          <w:rFonts w:ascii="Times New Roman" w:hAnsi="Times New Roman" w:eastAsia="Times New Roman"/>
          <w:b/>
          <w:bCs/>
          <w:sz w:val="28"/>
          <w:szCs w:val="28"/>
          <w:lang w:val="uk-ua" w:eastAsia="uk-ua"/>
        </w:rPr>
        <w:t>Фінансова інформація</w:t>
      </w:r>
      <w:r/>
      <w:bookmarkEnd w:id="10"/>
      <w:r/>
      <w:r>
        <w:rPr>
          <w:rFonts w:ascii="Times New Roman" w:hAnsi="Times New Roman" w:eastAsia="Times New Roman"/>
          <w:b/>
          <w:bCs/>
          <w:sz w:val="28"/>
          <w:szCs w:val="28"/>
          <w:lang w:val="uk-ua" w:eastAsia="uk-ua"/>
        </w:rPr>
      </w:r>
    </w:p>
    <w:p>
      <w:pPr>
        <w:spacing w:after="0"/>
        <w:jc w:val="center"/>
        <w:keepNext/>
        <w:outlineLvl w:val="0"/>
        <w:rPr>
          <w:rFonts w:ascii="Times New Roman" w:hAnsi="Times New Roman" w:eastAsia="Times New Roman"/>
          <w:b/>
          <w:bCs/>
          <w:kern w:val="0"/>
          <w:sz w:val="26"/>
          <w:szCs w:val="26"/>
          <w:lang w:val="uk-ua" w:eastAsia="uk-ua"/>
        </w:rPr>
      </w:pPr>
      <w:r/>
      <w:bookmarkStart w:id="11" w:name="_Toc210042936"/>
      <w:r/>
      <w:r>
        <w:rPr>
          <w:rFonts w:ascii="Times New Roman" w:hAnsi="Times New Roman" w:eastAsia="Times New Roman"/>
          <w:b/>
          <w:bCs/>
          <w:kern w:val="0"/>
          <w:sz w:val="26"/>
          <w:szCs w:val="26"/>
          <w:lang w:val="uk-ua" w:eastAsia="uk-ua"/>
        </w:rPr>
        <w:t>1. Інформація про розмір доходу за видами діяльності особи</w:t>
      </w:r>
      <w:r/>
      <w:bookmarkEnd w:id="11"/>
      <w:r/>
      <w:r>
        <w:rPr>
          <w:rFonts w:ascii="Times New Roman" w:hAnsi="Times New Roman" w:eastAsia="Times New Roman"/>
          <w:b/>
          <w:bCs/>
          <w:kern w:val="0"/>
          <w:sz w:val="26"/>
          <w:szCs w:val="26"/>
          <w:lang w:val="uk-ua" w:eastAsia="uk-ua"/>
        </w:rPr>
      </w:r>
    </w:p>
    <w:tbl>
      <w:tblPr>
        <w:tblStyle w:val="NormalTable"/>
        <w:name w:val="Таблица26"/>
        <w:tabOrder w:val="0"/>
        <w:jc w:val="left"/>
        <w:tblInd w:w="0" w:type="dxa"/>
        <w:tblW w:w="16112" w:type="dxa"/>
        <w:tblLook w:val="0000" w:firstRow="0" w:lastRow="0" w:firstColumn="0" w:lastColumn="0" w:noHBand="0" w:noVBand="0"/>
      </w:tblPr>
      <w:tblGrid>
        <w:gridCol w:w="10183"/>
        <w:gridCol w:w="3190"/>
        <w:gridCol w:w="2739"/>
      </w:tblGrid>
      <w:tr>
        <w:trPr>
          <w:cantSplit w:val="0"/>
          <w:trHeight w:val="60" w:hRule="atLeast"/>
        </w:trPr>
        <w:tc>
          <w:tcPr>
            <w:tcW w:w="316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Вид діяльності особи </w:t>
              <w:br w:type="textWrapping"/>
              <w:t xml:space="preserve">із зазначенням найменування </w:t>
              <w:br w:type="textWrapping"/>
              <w:t>та коду за КВЕД</w:t>
            </w:r>
          </w:p>
        </w:tc>
        <w:tc>
          <w:tcPr>
            <w:tcW w:w="99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Розмір доходу особи </w:t>
              <w:br w:type="textWrapping"/>
              <w:t xml:space="preserve">від реалізації продукції </w:t>
              <w:br w:type="textWrapping"/>
              <w:t>(товарів, робіт, послуг), </w:t>
              <w:br w:type="textWrapping"/>
              <w:t>тис.грн</w:t>
            </w:r>
          </w:p>
        </w:tc>
        <w:tc>
          <w:tcPr>
            <w:tcW w:w="8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Відсоткове вираження по відношенню </w:t>
              <w:br w:type="textWrapping"/>
              <w:t>від сукупного доходу особи за результатами звітного року</w:t>
            </w:r>
          </w:p>
        </w:tc>
      </w:tr>
      <w:tr>
        <w:trPr>
          <w:cantSplit w:val="0"/>
          <w:trHeight w:val="60" w:hRule="atLeast"/>
        </w:trPr>
        <w:tc>
          <w:tcPr>
            <w:tcW w:w="316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eastAsia="uk-ua"/>
              </w:rPr>
              <w:t xml:space="preserve">                                                                    </w:t>
            </w:r>
            <w:r>
              <w:rPr>
                <w:rFonts w:ascii="Times New Roman" w:hAnsi="Times New Roman" w:eastAsia="Times New Roman"/>
                <w:b/>
                <w:color w:val="000000"/>
                <w:sz w:val="20"/>
                <w:szCs w:val="20"/>
                <w:lang w:val="uk-ua" w:eastAsia="uk-ua"/>
              </w:rPr>
              <w:t>1</w:t>
            </w:r>
            <w:r>
              <w:rPr>
                <w:rFonts w:ascii="Times New Roman" w:hAnsi="Times New Roman" w:eastAsia="Times New Roman"/>
                <w:b/>
                <w:color w:val="000000"/>
                <w:sz w:val="20"/>
                <w:szCs w:val="20"/>
                <w:lang w:val="uk-ua" w:eastAsia="uk-ua"/>
              </w:rPr>
            </w:r>
          </w:p>
        </w:tc>
        <w:tc>
          <w:tcPr>
            <w:tcW w:w="99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2</w:t>
            </w:r>
          </w:p>
        </w:tc>
        <w:tc>
          <w:tcPr>
            <w:tcW w:w="8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3</w:t>
            </w:r>
          </w:p>
        </w:tc>
      </w:tr>
      <w:tr>
        <w:trPr>
          <w:cantSplit w:val="0"/>
          <w:trHeight w:val="60" w:hRule="atLeast"/>
        </w:trPr>
        <w:tc>
          <w:tcPr>
            <w:tcW w:w="316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 xml:space="preserve">28.29     </w:t>
            </w:r>
          </w:p>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ВИРОБНИЦТВО ІНШИХ МАШИН І УСТАТКОВАННЯ ЗАГАЛЬНОГО ПРИЗНАЧЕННЯ, Н. В. І. У.</w:t>
            </w:r>
          </w:p>
        </w:tc>
        <w:tc>
          <w:tcPr>
            <w:tcW w:w="99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11409.6</w:t>
            </w:r>
          </w:p>
        </w:tc>
        <w:tc>
          <w:tcPr>
            <w:tcW w:w="8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85.1</w:t>
            </w:r>
          </w:p>
        </w:tc>
      </w:tr>
      <w:tr>
        <w:trPr>
          <w:cantSplit w:val="0"/>
          <w:trHeight w:val="60" w:hRule="atLeast"/>
        </w:trPr>
        <w:tc>
          <w:tcPr>
            <w:tcW w:w="316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 xml:space="preserve">46.90     </w:t>
            </w:r>
          </w:p>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НЕСПЕЦІАЛІЗОВАНА ОПТОВА ТОРГІВЛЯ</w:t>
            </w:r>
          </w:p>
        </w:tc>
        <w:tc>
          <w:tcPr>
            <w:tcW w:w="99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1995</w:t>
            </w:r>
          </w:p>
        </w:tc>
        <w:tc>
          <w:tcPr>
            <w:tcW w:w="8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14.9</w:t>
            </w:r>
          </w:p>
        </w:tc>
      </w:tr>
      <w:tr>
        <w:trPr>
          <w:cantSplit w:val="0"/>
          <w:trHeight w:val="60" w:hRule="atLeast"/>
        </w:trPr>
        <w:tc>
          <w:tcPr>
            <w:tcW w:w="316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 xml:space="preserve">33.12     </w:t>
            </w:r>
          </w:p>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 xml:space="preserve">Ремонт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техн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чне обслуговування машин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устатковання промислового призначення</w:t>
            </w:r>
            <w:r>
              <w:rPr>
                <w:rFonts w:ascii="Times New Roman" w:hAnsi="Times New Roman" w:eastAsia="Times New Roman"/>
                <w:color w:val="000000"/>
                <w:sz w:val="20"/>
                <w:szCs w:val="20"/>
                <w:lang w:eastAsia="uk-ua"/>
              </w:rPr>
            </w:r>
          </w:p>
        </w:tc>
        <w:tc>
          <w:tcPr>
            <w:tcW w:w="99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0</w:t>
            </w:r>
          </w:p>
        </w:tc>
        <w:tc>
          <w:tcPr>
            <w:tcW w:w="8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0</w:t>
            </w:r>
          </w:p>
        </w:tc>
      </w:tr>
    </w:tbl>
    <w:p>
      <w:pPr>
        <w:rPr>
          <w:rFonts w:eastAsia="Times New Roman"/>
          <w:lang w:val="uk-ua" w:eastAsia="uk-ua"/>
        </w:rPr>
      </w:pPr>
      <w:r>
        <w:rPr>
          <w:rFonts w:eastAsia="Times New Roman"/>
          <w:lang w:val="uk-ua"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20"/>
          <w:footerReference w:type="default" r:id="rId21"/>
          <w:type w:val="nextPage"/>
          <w:pgSz w:h="11906" w:w="16838" w:orient="landscape"/>
          <w:pgMar w:left="363" w:top="567" w:right="363" w:bottom="567"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spacing w:after="60" w:line="240" w:lineRule="auto"/>
        <w:jc w:val="center"/>
        <w:outlineLvl w:val="0"/>
        <w:rPr>
          <w:rFonts w:ascii="Times New Roman" w:hAnsi="Times New Roman" w:eastAsia="Times New Roman"/>
          <w:b/>
          <w:bCs/>
          <w:kern w:val="0"/>
          <w:sz w:val="26"/>
          <w:szCs w:val="26"/>
          <w:lang w:val="uk-ua" w:eastAsia="uk-ua"/>
        </w:rPr>
      </w:pPr>
      <w:r>
        <w:rPr>
          <w:rFonts w:ascii="Times New Roman" w:hAnsi="Times New Roman" w:eastAsia="Times New Roman"/>
          <w:b/>
          <w:bCs/>
          <w:kern w:val="0"/>
          <w:sz w:val="26"/>
          <w:szCs w:val="26"/>
          <w:lang w:val="en-us" w:eastAsia="uk-ua"/>
        </w:rPr>
        <w:t xml:space="preserve"> </w:t>
      </w:r>
      <w:r>
        <w:rPr>
          <w:rFonts w:ascii="Times New Roman" w:hAnsi="Times New Roman" w:eastAsia="Times New Roman"/>
          <w:b/>
          <w:bCs/>
          <w:kern w:val="0"/>
          <w:sz w:val="26"/>
          <w:szCs w:val="26"/>
          <w:lang w:val="uk-ua" w:eastAsia="uk-ua"/>
        </w:rPr>
        <w:t xml:space="preserve"> </w:t>
      </w:r>
      <w:r/>
      <w:bookmarkStart w:id="12" w:name="_Toc210042937"/>
      <w:r/>
      <w:r>
        <w:rPr>
          <w:rFonts w:ascii="Times New Roman" w:hAnsi="Times New Roman" w:eastAsia="Times New Roman"/>
          <w:b/>
          <w:bCs/>
          <w:kern w:val="0"/>
          <w:sz w:val="26"/>
          <w:szCs w:val="26"/>
          <w:lang w:val="en-us" w:eastAsia="uk-ua"/>
        </w:rPr>
        <w:t>4. Твердження щодо річної інформації</w:t>
      </w:r>
      <w:r/>
      <w:bookmarkEnd w:id="12"/>
      <w:r/>
      <w:r>
        <w:rPr>
          <w:rFonts w:ascii="Times New Roman" w:hAnsi="Times New Roman" w:eastAsia="Times New Roman"/>
          <w:b/>
          <w:bCs/>
          <w:kern w:val="0"/>
          <w:sz w:val="26"/>
          <w:szCs w:val="26"/>
          <w:lang w:val="en-us" w:eastAsia="uk-ua"/>
        </w:rPr>
        <w:t xml:space="preserve"> </w:t>
      </w:r>
      <w:r>
        <w:rPr>
          <w:rFonts w:ascii="Times New Roman" w:hAnsi="Times New Roman" w:eastAsia="Times New Roman"/>
          <w:b/>
          <w:bCs/>
          <w:kern w:val="0"/>
          <w:sz w:val="26"/>
          <w:szCs w:val="26"/>
          <w:lang w:val="uk-ua" w:eastAsia="uk-ua"/>
        </w:rPr>
      </w:r>
    </w:p>
    <w:p>
      <w:pPr>
        <w:spacing w:after="0" w:line="240" w:lineRule="auto"/>
        <w:rPr>
          <w:rFonts w:ascii="Times New Roman" w:hAnsi="Times New Roman" w:eastAsia="Times New Roman"/>
          <w:sz w:val="24"/>
          <w:szCs w:val="24"/>
          <w:lang w:val="uk-ua" w:eastAsia="uk-ua"/>
        </w:rPr>
      </w:pPr>
      <w:r>
        <w:rPr>
          <w:rFonts w:ascii="Times New Roman" w:hAnsi="Times New Roman" w:eastAsia="Times New Roman"/>
          <w:sz w:val="24"/>
          <w:szCs w:val="24"/>
          <w:lang w:val="uk-ua" w:eastAsia="uk-ua"/>
        </w:rPr>
      </w:r>
    </w:p>
    <w:p>
      <w:pPr>
        <w:spacing w:after="0" w:line="240" w:lineRule="auto"/>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t>Керівництво Товариства, що здійснює управлінські функції та підписує річну інформацію емітента, підтверджує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а також те, що звіт керівництва включає достовірне та об'єктивне подання інформації про розвиток і здійснення господарської діяльності та стан емітента разом з описом основних ризиків та невизначеностей, з яким воно стикається у своїй господарській діяльності.</w:t>
      </w:r>
    </w:p>
    <w:p>
      <w:pPr>
        <w:spacing w:after="60" w:line="240" w:lineRule="auto"/>
        <w:jc w:val="center"/>
        <w:outlineLvl w:val="0"/>
        <w:rPr>
          <w:rFonts w:ascii="Times New Roman" w:hAnsi="Times New Roman" w:eastAsia="Times New Roman"/>
          <w:b/>
          <w:bCs/>
          <w:sz w:val="28"/>
          <w:szCs w:val="28"/>
          <w:lang w:val="uk-ua" w:eastAsia="uk-ua"/>
        </w:rPr>
      </w:pPr>
      <w:r/>
      <w:bookmarkStart w:id="13" w:name="_Toc210042938"/>
      <w:r/>
      <w:r>
        <w:rPr>
          <w:rFonts w:ascii="Times New Roman" w:hAnsi="Times New Roman" w:eastAsia="Times New Roman"/>
          <w:b/>
          <w:bCs/>
          <w:sz w:val="28"/>
          <w:szCs w:val="28"/>
          <w:lang w:val="uk-ua" w:eastAsia="uk-ua"/>
        </w:rPr>
        <w:t>IV. Нефінансова інформація</w:t>
      </w:r>
      <w:r/>
      <w:bookmarkEnd w:id="13"/>
      <w:r/>
      <w:r>
        <w:rPr>
          <w:rFonts w:ascii="Times New Roman" w:hAnsi="Times New Roman" w:eastAsia="Times New Roman"/>
          <w:b/>
          <w:bCs/>
          <w:sz w:val="28"/>
          <w:szCs w:val="28"/>
          <w:lang w:val="uk-ua" w:eastAsia="uk-ua"/>
        </w:rPr>
      </w:r>
    </w:p>
    <w:p>
      <w:pPr>
        <w:spacing w:after="60" w:line="240" w:lineRule="auto"/>
        <w:outlineLvl w:val="0"/>
        <w:rPr>
          <w:rFonts w:ascii="Calibri Light" w:hAnsi="Calibri Light" w:eastAsia="Times New Roman"/>
          <w:b/>
          <w:bCs/>
          <w:sz w:val="32"/>
          <w:szCs w:val="32"/>
          <w:lang w:val="uk-ua" w:eastAsia="uk-ua"/>
        </w:rPr>
      </w:pPr>
      <w:r/>
      <w:bookmarkStart w:id="14" w:name="_Toc210042939"/>
      <w:r/>
      <w:r>
        <w:rPr>
          <w:rFonts w:ascii="Times New Roman" w:hAnsi="Times New Roman" w:eastAsia="Times New Roman"/>
          <w:b/>
          <w:bCs/>
          <w:kern w:val="0"/>
          <w:sz w:val="26"/>
          <w:szCs w:val="26"/>
          <w:lang w:val="uk-ua" w:eastAsia="uk-ua"/>
        </w:rPr>
        <w:t>1. Звіт керівництва (звіт про управління)</w:t>
      </w:r>
      <w:r/>
      <w:bookmarkEnd w:id="14"/>
      <w:r/>
      <w:r>
        <w:rPr>
          <w:rFonts w:ascii="Calibri Light" w:hAnsi="Calibri Light" w:eastAsia="Times New Roman"/>
          <w:b/>
          <w:bCs/>
          <w:sz w:val="32"/>
          <w:szCs w:val="32"/>
          <w:lang w:val="uk-ua" w:eastAsia="uk-ua"/>
        </w:rPr>
      </w:r>
    </w:p>
    <w:p>
      <w:r/>
    </w:p>
    <w:p>
      <w:pPr>
        <w:spacing w:before="240" w:after="0"/>
        <w:keepNext/>
        <w:outlineLvl w:val="0"/>
        <w:keepLines/>
        <w:rPr>
          <w:rFonts w:ascii="Calibri Light" w:hAnsi="Calibri Light" w:eastAsia="Times New Roman"/>
          <w:sz w:val="32"/>
          <w:szCs w:val="32"/>
        </w:rPr>
      </w:pPr>
      <w:r/>
      <w:bookmarkStart w:id="15" w:name="_Toc210042940"/>
      <w:r/>
      <w:r>
        <w:rPr>
          <w:rFonts w:ascii="Times New Roman" w:hAnsi="Times New Roman" w:eastAsia="Times New Roman"/>
          <w:b/>
          <w:sz w:val="24"/>
          <w:szCs w:val="24"/>
        </w:rPr>
        <w:t>1) звіт про корпоративне управління</w:t>
      </w:r>
      <w:r/>
      <w:bookmarkEnd w:id="15"/>
      <w:r/>
      <w:r>
        <w:rPr>
          <w:rFonts w:ascii="Calibri Light" w:hAnsi="Calibri Light" w:eastAsia="Times New Roman"/>
          <w:sz w:val="32"/>
          <w:szCs w:val="32"/>
        </w:rPr>
      </w:r>
    </w:p>
    <w:p>
      <w:pPr>
        <w:spacing w:before="57" w:after="0" w:line="257" w:lineRule="auto"/>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Частина 1. Інформація про кодекс корпоративного управління, яким керується особа,</w:t>
      </w:r>
      <w:r>
        <w:rPr>
          <w:rFonts w:ascii="Times New Roman" w:hAnsi="Times New Roman" w:eastAsia="Times New Roman"/>
          <w:b/>
          <w:color w:val="000000"/>
          <w:sz w:val="24"/>
          <w:szCs w:val="24"/>
          <w:lang w:eastAsia="uk-ua"/>
        </w:rPr>
        <w:t xml:space="preserve"> </w:t>
      </w:r>
      <w:r>
        <w:rPr>
          <w:rFonts w:ascii="Times New Roman" w:hAnsi="Times New Roman" w:eastAsia="Times New Roman"/>
          <w:b/>
          <w:color w:val="000000"/>
          <w:sz w:val="24"/>
          <w:szCs w:val="24"/>
          <w:lang w:val="uk-ua" w:eastAsia="uk-ua"/>
        </w:rPr>
        <w:t>та/або практику корпоративного управління особи, застосовувану понад визначені законодавством вимоги</w:t>
      </w:r>
      <w:r>
        <w:rPr>
          <w:rFonts w:ascii="Times New Roman" w:hAnsi="Times New Roman" w:eastAsia="Times New Roman"/>
          <w:b/>
          <w:color w:val="000000"/>
          <w:sz w:val="24"/>
          <w:szCs w:val="24"/>
          <w:lang w:val="uk-ua" w:eastAsia="uk-ua"/>
        </w:rPr>
      </w:r>
    </w:p>
    <w:p>
      <w:pPr>
        <w:ind w:firstLine="283"/>
        <w:spacing w:before="57" w:after="0" w:line="257" w:lineRule="auto"/>
        <w:jc w:val="right"/>
        <w:suppressAutoHyphens/>
        <w:hyphenationLines w:val="0"/>
        <w:keepNext/>
        <w:widowControl w:val="0"/>
        <w:tabs defTabSz="708">
          <w:tab w:val="right" w:pos="7710" w:leader="none"/>
        </w:tabs>
        <w:rPr>
          <w:rFonts w:ascii="Times New Roman" w:hAnsi="Times New Roman" w:eastAsia="Times New Roman"/>
          <w:i/>
          <w:iCs/>
          <w:color w:val="000000"/>
          <w:sz w:val="24"/>
          <w:szCs w:val="24"/>
          <w:lang w:val="uk-ua" w:eastAsia="uk-ua"/>
        </w:rPr>
      </w:pPr>
      <w:r>
        <w:rPr>
          <w:rFonts w:ascii="Times New Roman" w:hAnsi="Times New Roman" w:eastAsia="Times New Roman"/>
          <w:i/>
          <w:iCs/>
          <w:color w:val="000000"/>
          <w:sz w:val="24"/>
          <w:szCs w:val="24"/>
          <w:lang w:val="uk-ua" w:eastAsia="uk-ua"/>
        </w:rPr>
        <w:t>Таблиця 1.</w:t>
      </w:r>
    </w:p>
    <w:p>
      <w:pPr>
        <w:spacing w:before="113" w:after="0" w:line="257" w:lineRule="auto"/>
        <w:jc w:val="center"/>
        <w:suppressAutoHyphens/>
        <w:hyphenationLines w:val="0"/>
        <w:keepNext/>
        <w:widowControl w:val="0"/>
        <w:tabs defTabSz="708">
          <w:tab w:val="right" w:pos="6350"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Інформація про кодекс корпоративного управління, яким керується особа</w:t>
      </w:r>
    </w:p>
    <w:tbl>
      <w:tblPr>
        <w:tblStyle w:val="NormalTable"/>
        <w:name w:val="Таблица27"/>
        <w:tabOrder w:val="0"/>
        <w:jc w:val="left"/>
        <w:tblInd w:w="0" w:type="dxa"/>
        <w:tblW w:w="9922" w:type="dxa"/>
        <w:tblLook w:val="0000" w:firstRow="0" w:lastRow="0" w:firstColumn="0" w:lastColumn="0" w:noHBand="0" w:noVBand="0"/>
      </w:tblPr>
      <w:tblGrid>
        <w:gridCol w:w="4038"/>
        <w:gridCol w:w="5884"/>
      </w:tblGrid>
      <w:tr>
        <w:trPr>
          <w:cantSplit w:val="0"/>
          <w:trHeight w:val="60" w:hRule="atLeast"/>
        </w:trPr>
        <w:tc>
          <w:tcPr>
            <w:tcW w:w="203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tc>
        <w:tc>
          <w:tcPr>
            <w:tcW w:w="296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Прийнято рішення про застосування іншого кодексу</w:t>
            </w:r>
          </w:p>
        </w:tc>
      </w:tr>
      <w:tr>
        <w:trPr>
          <w:cantSplit w:val="0"/>
          <w:trHeight w:val="60" w:hRule="atLeast"/>
        </w:trPr>
        <w:tc>
          <w:tcPr>
            <w:tcW w:w="203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Назва органу управління, яким прийнято рішення про затвердження застосування іншого кодексу</w:t>
            </w:r>
          </w:p>
        </w:tc>
        <w:tc>
          <w:tcPr>
            <w:tcW w:w="29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Власний Кодекс корпоративного управління ПРАТ "МАКІЇВСЬКИЙ ЗАВОД "ФАКЕЛ" розроблено відповідно до Законів України "Про акціонерні товариства", "Про цінні папери та фондовий ринок", "Про депозитарну систему України". "Про державне регулювання ринку цінних паперів в Україні" та Принципів корпоративного управління України, затверджених рішенням Державної комісії з цінних паперів та фондового ринку від 22.07.2014 № 955, Статуту та інших законодавчих актів. Затверджено черговими загальними зборами акціонерів 11.04.2019 року. </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Кодекс корпоративного управління є документом, який визначає і закріплює основні принципи та стандарти корпоративного управління Товариства, принципи захисту інтересів акціонерів, принципи прозорості в прийнятті рішень та інформаційної відкритості. Цей Кодекс є сукупністю добровільно прийнятих зобов'язань, заснованих на збалансованому врахуванні інтересів акціонерів Товариства та інших зацікавлених осіб, а також органів управління та контролю Товариства.</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Основними напрямами корпоративного управління у Товаристві є:</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w:t>
              <w:tab/>
              <w:t>розподіл повноважень, питань компетенції та підпорядкованості між органами управління, організація ефективної діяльності Виконавчого органу та Наглядової ради;</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w:t>
              <w:tab/>
              <w:t>встановлення та затвердження стратегії розвитку Товариства та контроль за її реалізацією, попередження конфліктів інтересів, які можуть виникнути між акціонерами, членами Наглядової ради, службовцями, іншими клієнтами та контрагентами;</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w:t>
              <w:tab/>
              <w:t>визначення правил та процедур, то забезпечують дотримання принципів професійної етики;</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w:t>
              <w:tab/>
              <w:t>визначення порядку та контролю за розкриггям інформації про Товариство.</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Дотримання положень Кодексу забезпечує прозорість ведення господарської діяльності Товариства, відповідальність органів Товариства та виконання зобов'язань Товариства при здійсненні господарської діяльності через належне функціонування органів Товариства, ефективний внутрішній контроль, транспарентність, чітке визначення прав і обов'язків органів Товариства, акціонерів та зацікавлених осіб.</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Метою прийняття Кодексу є впровадження в діяльність Товариства відповідних норм та правил корпоративного управління, що застосовуються в міжнародній практиці, вимог чинного законодавства та загальноприйнятих стандартів етичної поведінки для: створення необхідних умов досягнення основної мети діяльності Товариства - отримання прибутку від фінансово-господарської діяльності; встановлення стратегічних цілей та завдань Товариства; досягнення балансу інтересів акціонерів Іовариства. органів управління, працівників Товарне і ва та інших зацікавлених осіб; захисту прав акціонерів, незалежно від розміру пакету акцій, якими вони володіють; забезпечення прозорості діяльності Товариства. сприяння розвитку інвестиційних процесів, забезпечення впевненості та підвищення довіри інвесторів; підвищення ефективності використання капіталу та діяльності Товариства; урахування інтересів широкого кола заінтересованих осіб, що забезпечує здійснення Товариством діяльності на благо суспільства.</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Впровадження цього Кодексу спрямоване на захист інтересів акціонерів, незалежно від розміру пакету акцій, якими вони володіють; досягнення порозуміння між усіма особами, зацікавленими в ефективній роботі Товариства: акціонерами, клієнтами, партнерами, співробітниками; забезпечення прозорості Товариства та підвищення ефективності діяльності Наглядової ради Товариства). Виконавчого органу Товариства; збільшення вартості активів Товариства, підтримку його фінансової стабільності та прибутковості.</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Органами управління Товариства відповідно до Статуту Товариства є:</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w:t>
              <w:tab/>
              <w:t>Загальні збори акціонерів Товариства - вищий орган управління Товариства;</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Наглядова рада - забезпечує стратегічне керівництво діяльністю товариства, контроль за діяльністю виконавчою органу та захист прав усіх акціонерів;</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w:t>
              <w:tab/>
              <w:t>Правління під керівництвом Голови правління.</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Повний текст Кодексу корпоративного управління ПРАТ "МАКІЇВСЬКИЙ ЗАВОД "ФАКЕЛ"розміщено на власному веб-сайті </w:t>
            </w:r>
            <w:r>
              <w:rPr>
                <w:rFonts w:ascii="Times New Roman" w:hAnsi="Times New Roman" w:eastAsia="Times New Roman"/>
                <w:sz w:val="20"/>
                <w:szCs w:val="20"/>
                <w:lang w:val="en-us" w:eastAsia="uk-ua"/>
              </w:rPr>
              <w:t>http</w:t>
            </w:r>
            <w:r>
              <w:rPr>
                <w:rFonts w:ascii="Times New Roman" w:hAnsi="Times New Roman" w:eastAsia="Times New Roman"/>
                <w:sz w:val="20"/>
                <w:szCs w:val="20"/>
                <w:lang w:eastAsia="uk-ua"/>
              </w:rPr>
              <w:t>://</w:t>
            </w:r>
            <w:r>
              <w:rPr>
                <w:rFonts w:ascii="Times New Roman" w:hAnsi="Times New Roman" w:eastAsia="Times New Roman"/>
                <w:sz w:val="20"/>
                <w:szCs w:val="20"/>
                <w:lang w:val="en-us" w:eastAsia="uk-ua"/>
              </w:rPr>
              <w:t>fakel</w:t>
            </w:r>
            <w:r>
              <w:rPr>
                <w:rFonts w:ascii="Times New Roman" w:hAnsi="Times New Roman" w:eastAsia="Times New Roman"/>
                <w:sz w:val="20"/>
                <w:szCs w:val="20"/>
                <w:lang w:eastAsia="uk-ua"/>
              </w:rPr>
              <w:t>.</w:t>
            </w:r>
            <w:r>
              <w:rPr>
                <w:rFonts w:ascii="Times New Roman" w:hAnsi="Times New Roman" w:eastAsia="Times New Roman"/>
                <w:sz w:val="20"/>
                <w:szCs w:val="20"/>
                <w:lang w:val="en-us" w:eastAsia="uk-ua"/>
              </w:rPr>
              <w:t>pat</w:t>
            </w:r>
            <w:r>
              <w:rPr>
                <w:rFonts w:ascii="Times New Roman" w:hAnsi="Times New Roman" w:eastAsia="Times New Roman"/>
                <w:sz w:val="20"/>
                <w:szCs w:val="20"/>
                <w:lang w:eastAsia="uk-ua"/>
              </w:rPr>
              <w:t>.</w:t>
            </w:r>
            <w:r>
              <w:rPr>
                <w:rFonts w:ascii="Times New Roman" w:hAnsi="Times New Roman" w:eastAsia="Times New Roman"/>
                <w:sz w:val="20"/>
                <w:szCs w:val="20"/>
                <w:lang w:val="en-us" w:eastAsia="uk-ua"/>
              </w:rPr>
              <w:t>ua</w:t>
            </w:r>
            <w:r>
              <w:rPr>
                <w:rFonts w:ascii="Times New Roman" w:hAnsi="Times New Roman" w:eastAsia="Times New Roman"/>
                <w:sz w:val="20"/>
                <w:szCs w:val="20"/>
                <w:lang w:eastAsia="uk-ua"/>
              </w:rPr>
              <w:t xml:space="preserve">.     </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Інформація, що розкривається товариством, є суттєвою та повною. </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Інформація, що розкривається товариством, є достовірною, тобто такою, що сприяє чіткому та повному уявленню про дійсний фінансовий стан товариства та результати його діяльності. </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Товариство забезпечує своєчасність розкриття інформації. </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Товариство забезпечує рівний доступ до інформації, що розкривається, включаючи її обсяг, зміст, форму та час надання. </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Товариство використовує зручні для користувачів засоби поширення інформації, які забезпечують рівний, своєчасний та непов'язаний зі значними витратами доступ до інформації. </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Товариство має чітко визначену інформаційну політику, спрямовану на розкриття інформації шляхом її донесення до відома всіх заінтересованих в отриманні інформації осіб в обсязі, необхідному для прийняття зважених рішень, інформаційну політику товариства доцільне визначати з врахуванням потреб товариства у захисті конфіденційної інформації та комерційної таємниці. </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Контроль за фінансово-господарською діяльністю товариства здійснюється через залучення незалежного зовнішнього аудитора (аудиторської фірми). </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Товариство проводить щорічну аудиторську перевірку за участю зовнішнього аудитора, який призначається наглядовою радою або виконавчим органом товариства, якщо інше не передбачено статутом. Аудиторська перевірка проводиться у відповідності до міжнародних стандартів аудиту. </w:t>
            </w:r>
          </w:p>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eastAsia="uk-ua"/>
              </w:rPr>
              <w:t>Товариство поважає права та враховує законні інтереси заінтересованих осіб (тобто осіб, які мають легітимний інтерес у діяльності товариства і до яких передусім належать працівники, кредитори, споживачі продукції товариства, територіальна громада, на території якої розташоване товариство, а також відповідні державні органи та органи місцевого самоврядування) та активно співпрацює  з ними для створення добробуту, робочих місць та забезпечення фінансової стабільності товариства.</w:t>
            </w:r>
            <w:r>
              <w:rPr>
                <w:rFonts w:ascii="Times New Roman" w:hAnsi="Times New Roman" w:eastAsia="Times New Roman"/>
                <w:sz w:val="20"/>
                <w:szCs w:val="20"/>
                <w:lang w:val="uk-ua" w:eastAsia="uk-ua"/>
              </w:rPr>
            </w:r>
          </w:p>
        </w:tc>
      </w:tr>
      <w:tr>
        <w:trPr>
          <w:cantSplit w:val="0"/>
          <w:trHeight w:val="60" w:hRule="atLeast"/>
        </w:trPr>
        <w:tc>
          <w:tcPr>
            <w:tcW w:w="203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Дата прийняття рішення щодо затвердження застосування іншого кодексу</w:t>
            </w:r>
          </w:p>
        </w:tc>
        <w:tc>
          <w:tcPr>
            <w:tcW w:w="29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en-us" w:eastAsia="uk-ua"/>
              </w:rPr>
              <w:t>11.04.2019</w:t>
            </w:r>
            <w:r>
              <w:rPr>
                <w:rFonts w:ascii="Times New Roman" w:hAnsi="Times New Roman" w:eastAsia="Times New Roman"/>
                <w:sz w:val="20"/>
                <w:szCs w:val="20"/>
                <w:lang w:val="uk-ua" w:eastAsia="uk-ua"/>
              </w:rPr>
            </w:r>
          </w:p>
        </w:tc>
      </w:tr>
      <w:tr>
        <w:trPr>
          <w:cantSplit w:val="0"/>
          <w:trHeight w:val="60" w:hRule="atLeast"/>
        </w:trPr>
        <w:tc>
          <w:tcPr>
            <w:tcW w:w="2035"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URL-адреса з текстом кодексу</w:t>
            </w:r>
          </w:p>
        </w:tc>
        <w:tc>
          <w:tcPr>
            <w:tcW w:w="29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en-us" w:eastAsia="uk-ua"/>
              </w:rPr>
              <w:t>https://fakel.pat.ua/</w:t>
            </w:r>
            <w:r>
              <w:rPr>
                <w:rFonts w:ascii="Times New Roman" w:hAnsi="Times New Roman" w:eastAsia="Times New Roman"/>
                <w:sz w:val="20"/>
                <w:szCs w:val="20"/>
                <w:lang w:val="uk-ua" w:eastAsia="uk-ua"/>
              </w:rPr>
            </w:r>
          </w:p>
        </w:tc>
      </w:tr>
    </w:tbl>
    <w:p>
      <w:pPr>
        <w:rPr>
          <w:rFonts w:eastAsia="Times New Roman"/>
          <w:lang w:val="uk-ua" w:eastAsia="uk-ua"/>
        </w:rPr>
      </w:pPr>
      <w:r>
        <w:rPr>
          <w:rFonts w:eastAsia="Times New Roman"/>
          <w:lang w:val="uk-ua" w:eastAsia="uk-ua"/>
        </w:rPr>
      </w:r>
    </w:p>
    <w:p>
      <w:pPr>
        <w:ind w:firstLine="283"/>
        <w:spacing w:before="57" w:after="0" w:line="257" w:lineRule="auto"/>
        <w:jc w:val="right"/>
        <w:suppressAutoHyphens/>
        <w:hyphenationLines w:val="0"/>
        <w:keepNext/>
        <w:widowControl w:val="0"/>
        <w:tabs defTabSz="708">
          <w:tab w:val="right" w:pos="7710" w:leader="none"/>
        </w:tabs>
        <w:rPr>
          <w:rFonts w:ascii="Times New Roman" w:hAnsi="Times New Roman" w:eastAsia="Times New Roman"/>
          <w:i/>
          <w:iCs/>
          <w:color w:val="000000"/>
          <w:sz w:val="24"/>
          <w:szCs w:val="24"/>
          <w:lang w:val="uk-ua" w:eastAsia="uk-ua"/>
        </w:rPr>
      </w:pPr>
      <w:r>
        <w:rPr>
          <w:rFonts w:ascii="Times New Roman" w:hAnsi="Times New Roman" w:eastAsia="Times New Roman"/>
          <w:i/>
          <w:iCs/>
          <w:color w:val="000000"/>
          <w:sz w:val="24"/>
          <w:szCs w:val="24"/>
          <w:lang w:val="uk-ua" w:eastAsia="uk-ua"/>
        </w:rPr>
        <w:t>Таблиця 2.</w:t>
      </w:r>
    </w:p>
    <w:p>
      <w:pPr>
        <w:spacing w:before="113" w:after="0" w:line="257" w:lineRule="auto"/>
        <w:jc w:val="center"/>
        <w:suppressAutoHyphens/>
        <w:hyphenationLines w:val="0"/>
        <w:keepNext/>
        <w:widowControl w:val="0"/>
        <w:tabs defTabSz="708">
          <w:tab w:val="right" w:pos="635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 xml:space="preserve">Інформація про практику корпоративного управління особи, </w:t>
        <w:br w:type="textWrapping"/>
        <w:t>застосовувану понад визначені законодавством вимоги</w:t>
      </w:r>
    </w:p>
    <w:tbl>
      <w:tblPr>
        <w:tblStyle w:val="NormalTable"/>
        <w:name w:val="Таблица28"/>
        <w:tabOrder w:val="0"/>
        <w:jc w:val="left"/>
        <w:tblInd w:w="0" w:type="dxa"/>
        <w:tblW w:w="9912" w:type="dxa"/>
        <w:tblLook w:val="0000" w:firstRow="0" w:lastRow="0" w:firstColumn="0" w:lastColumn="0" w:noHBand="0" w:noVBand="0"/>
      </w:tblPr>
      <w:tblGrid>
        <w:gridCol w:w="4504"/>
        <w:gridCol w:w="1578"/>
        <w:gridCol w:w="3830"/>
      </w:tblGrid>
      <w:tr>
        <w:trPr>
          <w:cantSplit w:val="0"/>
          <w:trHeight w:val="60" w:hRule="atLeast"/>
        </w:trPr>
        <w:tc>
          <w:tcPr>
            <w:tcW w:w="4504" w:type="dxa"/>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tc>
        <w:tc>
          <w:tcPr>
            <w:tcW w:w="1578" w:type="dxa"/>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bCs/>
                <w:color w:val="000000"/>
                <w:lang w:val="uk-ua" w:eastAsia="uk-ua"/>
              </w:rPr>
            </w:pPr>
            <w:r>
              <w:rPr>
                <w:rFonts w:ascii="Times New Roman" w:hAnsi="Times New Roman" w:eastAsia="Times New Roman"/>
                <w:b/>
                <w:bCs/>
                <w:color w:val="000000"/>
                <w:lang w:val="uk-ua" w:eastAsia="uk-ua"/>
              </w:rPr>
              <w:t>Відповідність практики</w:t>
            </w:r>
          </w:p>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lang w:val="uk-ua" w:eastAsia="uk-ua"/>
              </w:rPr>
            </w:pPr>
            <w:r>
              <w:rPr>
                <w:rFonts w:ascii="Times New Roman" w:hAnsi="Times New Roman" w:eastAsia="Times New Roman"/>
                <w:b/>
                <w:bCs/>
                <w:color w:val="000000"/>
                <w:lang w:val="uk-ua" w:eastAsia="uk-ua"/>
              </w:rPr>
              <w:t>(Так/Ні)</w:t>
            </w:r>
            <w:r>
              <w:rPr>
                <w:rFonts w:ascii="Times New Roman" w:hAnsi="Times New Roman" w:eastAsia="Times New Roman"/>
                <w:color w:val="000000"/>
                <w:lang w:val="uk-ua" w:eastAsia="uk-ua"/>
              </w:rPr>
            </w:r>
          </w:p>
        </w:tc>
        <w:tc>
          <w:tcPr>
            <w:tcW w:w="3830" w:type="dxa"/>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lang w:val="uk-ua" w:eastAsia="uk-ua"/>
              </w:rPr>
            </w:pPr>
            <w:r>
              <w:rPr>
                <w:rFonts w:ascii="Times New Roman" w:hAnsi="Times New Roman" w:eastAsia="Times New Roman"/>
                <w:b/>
                <w:bCs/>
                <w:color w:val="000000"/>
                <w:lang w:val="uk-ua" w:eastAsia="uk-ua"/>
              </w:rPr>
              <w:t xml:space="preserve">Опис наявної практики/ </w:t>
              <w:br w:type="textWrapping"/>
              <w:t>обґрунтування відхилення</w:t>
            </w:r>
            <w:r>
              <w:rPr>
                <w:rFonts w:ascii="Times New Roman" w:hAnsi="Times New Roman" w:eastAsia="Times New Roman"/>
                <w:color w:val="000000"/>
                <w:lang w:val="uk-ua" w:eastAsia="uk-ua"/>
              </w:rPr>
            </w:r>
          </w:p>
        </w:tc>
      </w:tr>
      <w:tr>
        <w:trPr>
          <w:cantSplit w:val="0"/>
          <w:trHeight w:val="60" w:hRule="atLeast"/>
        </w:trPr>
        <w:tc>
          <w:tcPr>
            <w:tcW w:w="9912" w:type="dxa"/>
            <w:gridSpan w:val="3"/>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color w:val="000000"/>
                <w:lang w:val="uk-ua" w:eastAsia="uk-ua"/>
              </w:rPr>
              <w:t>1. Цілі особи</w:t>
            </w:r>
            <w:r>
              <w:rPr>
                <w:rFonts w:ascii="Times New Roman" w:hAnsi="Times New Roman" w:eastAsia="Times New Roman"/>
                <w:color w:val="000000"/>
                <w:lang w:val="uk-ua" w:eastAsia="uk-ua"/>
              </w:rPr>
            </w:r>
          </w:p>
        </w:tc>
      </w:tr>
      <w:tr>
        <w:trPr>
          <w:cantSplit w:val="0"/>
          <w:trHeight w:val="60" w:hRule="atLeast"/>
        </w:trPr>
        <w:tc>
          <w:tcPr>
            <w:tcW w:w="4504"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7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Так</w:t>
            </w:r>
            <w:r>
              <w:rPr>
                <w:rFonts w:ascii="Times New Roman" w:hAnsi="Times New Roman" w:eastAsia="Times New Roman"/>
                <w:sz w:val="20"/>
                <w:szCs w:val="20"/>
                <w:lang w:val="uk-ua" w:eastAsia="uk-ua"/>
              </w:rPr>
            </w:r>
          </w:p>
        </w:tc>
        <w:tc>
          <w:tcPr>
            <w:tcW w:w="3830"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 xml:space="preserve">Товариство створене  як господарське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зд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йснює п</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дприємницьку 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яльн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сть з метою одержання прибутку та наступного його розпод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лу м</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ж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онерами. </w:t>
            </w: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tc>
      </w:tr>
      <w:tr>
        <w:trPr>
          <w:cantSplit w:val="0"/>
          <w:trHeight w:val="60" w:hRule="atLeast"/>
        </w:trPr>
        <w:tc>
          <w:tcPr>
            <w:tcW w:w="9912" w:type="dxa"/>
            <w:gridSpan w:val="3"/>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color w:val="000000"/>
                <w:lang w:val="uk-ua" w:eastAsia="uk-ua"/>
              </w:rPr>
              <w:t>2. Акціонери та стейкхолдери</w:t>
            </w:r>
            <w:r>
              <w:rPr>
                <w:rFonts w:ascii="Times New Roman" w:hAnsi="Times New Roman" w:eastAsia="Times New Roman"/>
                <w:color w:val="000000"/>
                <w:lang w:val="uk-ua" w:eastAsia="uk-ua"/>
              </w:rPr>
            </w:r>
          </w:p>
        </w:tc>
      </w:tr>
      <w:tr>
        <w:trPr>
          <w:cantSplit w:val="0"/>
          <w:trHeight w:val="60" w:hRule="atLeast"/>
        </w:trPr>
        <w:tc>
          <w:tcPr>
            <w:tcW w:w="4504"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Права акціонерів</w:t>
            </w:r>
          </w:p>
        </w:tc>
        <w:tc>
          <w:tcPr>
            <w:tcW w:w="157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0"/>
                <w:szCs w:val="20"/>
                <w:lang w:val="uk-ua" w:eastAsia="uk-ua"/>
              </w:rPr>
            </w:r>
          </w:p>
        </w:tc>
        <w:tc>
          <w:tcPr>
            <w:tcW w:w="3830"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Вiдповiдно до вимог законодавства</w:t>
            </w:r>
            <w:r>
              <w:rPr>
                <w:rFonts w:ascii="Times New Roman" w:hAnsi="Times New Roman" w:eastAsia="Times New Roman"/>
                <w:sz w:val="20"/>
                <w:szCs w:val="20"/>
                <w:lang w:val="uk-ua" w:eastAsia="uk-ua"/>
              </w:rPr>
            </w:r>
          </w:p>
        </w:tc>
      </w:tr>
      <w:tr>
        <w:trPr>
          <w:cantSplit w:val="0"/>
          <w:trHeight w:val="60" w:hRule="atLeast"/>
        </w:trPr>
        <w:tc>
          <w:tcPr>
            <w:tcW w:w="4504"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Права міноритарних акціонерів</w:t>
            </w:r>
          </w:p>
        </w:tc>
        <w:tc>
          <w:tcPr>
            <w:tcW w:w="157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0"/>
                <w:szCs w:val="20"/>
                <w:lang w:val="uk-ua" w:eastAsia="uk-ua"/>
              </w:rPr>
            </w:r>
          </w:p>
        </w:tc>
        <w:tc>
          <w:tcPr>
            <w:tcW w:w="3830"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Вiдповiдно до вимог законодавства</w:t>
            </w:r>
            <w:r>
              <w:rPr>
                <w:rFonts w:ascii="Times New Roman" w:hAnsi="Times New Roman" w:eastAsia="Times New Roman"/>
                <w:sz w:val="20"/>
                <w:szCs w:val="20"/>
                <w:lang w:val="uk-ua" w:eastAsia="uk-ua"/>
              </w:rPr>
            </w:r>
          </w:p>
        </w:tc>
      </w:tr>
      <w:tr>
        <w:trPr>
          <w:cantSplit w:val="0"/>
          <w:trHeight w:val="253" w:hRule="atLeast"/>
        </w:trPr>
        <w:tc>
          <w:tcPr>
            <w:tcW w:w="9912" w:type="dxa"/>
            <w:gridSpan w:val="3"/>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sz w:val="20"/>
                <w:szCs w:val="20"/>
                <w:lang w:val="uk-ua" w:eastAsia="uk-ua"/>
              </w:rPr>
            </w:pPr>
            <w:r>
              <w:rPr>
                <w:rFonts w:ascii="Times New Roman" w:hAnsi="Times New Roman" w:eastAsia="Times New Roman"/>
                <w:b/>
                <w:color w:val="000000"/>
                <w:szCs w:val="20"/>
                <w:lang w:val="uk-ua" w:eastAsia="uk-ua"/>
              </w:rPr>
              <w:t>1) загальні збори акціонерів</w:t>
            </w:r>
            <w:r>
              <w:rPr>
                <w:rFonts w:ascii="Times New Roman" w:hAnsi="Times New Roman" w:eastAsia="Times New Roman"/>
                <w:color w:val="000000"/>
                <w:sz w:val="20"/>
                <w:szCs w:val="20"/>
                <w:lang w:val="uk-ua" w:eastAsia="uk-ua"/>
              </w:rPr>
            </w:r>
          </w:p>
        </w:tc>
      </w:tr>
      <w:tr>
        <w:trPr>
          <w:cantSplit w:val="0"/>
          <w:trHeight w:val="1138" w:hRule="atLeast"/>
        </w:trPr>
        <w:tc>
          <w:tcPr>
            <w:tcW w:w="4504" w:type="dxa"/>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78"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Так</w:t>
            </w:r>
            <w:r>
              <w:rPr>
                <w:rFonts w:ascii="Times New Roman" w:hAnsi="Times New Roman" w:eastAsia="Times New Roman"/>
                <w:sz w:val="20"/>
                <w:szCs w:val="20"/>
                <w:lang w:val="uk-ua" w:eastAsia="uk-ua"/>
              </w:rPr>
            </w:r>
          </w:p>
        </w:tc>
        <w:tc>
          <w:tcPr>
            <w:tcW w:w="3830"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eastAsia="uk-ua"/>
              </w:rPr>
              <w:t>З документами, необх</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дними для прийняття 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шень з питань порядку денного Загальних збор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онери Товариства та їх представники можуть ознайомитися з дати над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слання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онерам пов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домлення (не менше, 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ж за 30 дн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до дати їх проведення) до дати</w:t>
            </w:r>
            <w:r>
              <w:rPr>
                <w:rFonts w:ascii="Times New Roman" w:hAnsi="Times New Roman" w:eastAsia="Times New Roman"/>
                <w:sz w:val="20"/>
                <w:szCs w:val="20"/>
                <w:lang w:val="uk-ua" w:eastAsia="uk-ua"/>
              </w:rPr>
            </w:r>
          </w:p>
        </w:tc>
      </w:tr>
      <w:tr>
        <w:trPr>
          <w:cantSplit w:val="0"/>
          <w:trHeight w:val="784" w:hRule="atLeast"/>
        </w:trPr>
        <w:tc>
          <w:tcPr>
            <w:tcW w:w="4504" w:type="dxa"/>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Біографічні дані про кандидатів до складу</w:t>
            </w:r>
            <w:r>
              <w:rPr>
                <w:rFonts w:ascii="Times New Roman" w:hAnsi="Times New Roman" w:eastAsia="Times New Roman"/>
                <w:b/>
                <w:color w:val="000000"/>
                <w:sz w:val="20"/>
                <w:szCs w:val="20"/>
                <w:lang w:eastAsia="uk-ua"/>
              </w:rPr>
              <w:t xml:space="preserve"> </w:t>
            </w:r>
            <w:r>
              <w:rPr>
                <w:rFonts w:ascii="Times New Roman" w:hAnsi="Times New Roman" w:eastAsia="Times New Roman"/>
                <w:b/>
                <w:color w:val="000000"/>
                <w:sz w:val="20"/>
                <w:szCs w:val="20"/>
                <w:lang w:val="uk-ua" w:eastAsia="uk-ua"/>
              </w:rPr>
              <w:t>органів управління, у тому числі про освіту та професійний досвід, розкриваються одночасно із повідомленням про проведення загальних зборів</w:t>
            </w:r>
            <w:r>
              <w:rPr>
                <w:rFonts w:ascii="Times New Roman" w:hAnsi="Times New Roman" w:eastAsia="Times New Roman"/>
                <w:b/>
                <w:color w:val="000000"/>
                <w:sz w:val="20"/>
                <w:szCs w:val="20"/>
                <w:lang w:val="uk-ua" w:eastAsia="uk-ua"/>
              </w:rPr>
            </w:r>
          </w:p>
        </w:tc>
        <w:tc>
          <w:tcPr>
            <w:tcW w:w="1578"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0"/>
                <w:szCs w:val="20"/>
                <w:lang w:val="uk-ua" w:eastAsia="uk-ua"/>
              </w:rPr>
            </w:r>
          </w:p>
        </w:tc>
        <w:tc>
          <w:tcPr>
            <w:tcW w:w="3830"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eastAsia="uk-ua"/>
              </w:rPr>
              <w:t>Б</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ограф</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чн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дан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про кандидат</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до складу орган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управл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ння, у тому числ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про осв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ту та профес</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йний досв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 розкриваються шляхом направлення Товариством документ</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онеру на його запит. Б</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ограф</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чн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дан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член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орган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управл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ння також розкриваються в особлив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й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нформац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(на наступний день п</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сля обрання) та в 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чному зв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станом на к</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нець зв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тного року.</w:t>
            </w:r>
            <w:r>
              <w:rPr>
                <w:rFonts w:ascii="Times New Roman" w:hAnsi="Times New Roman" w:eastAsia="Times New Roman"/>
                <w:sz w:val="20"/>
                <w:szCs w:val="20"/>
                <w:lang w:val="uk-ua" w:eastAsia="uk-ua"/>
              </w:rPr>
            </w:r>
          </w:p>
        </w:tc>
      </w:tr>
      <w:tr>
        <w:trPr>
          <w:cantSplit w:val="0"/>
          <w:trHeight w:val="961" w:hRule="atLeast"/>
        </w:trPr>
        <w:tc>
          <w:tcPr>
            <w:tcW w:w="4504" w:type="dxa"/>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78"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Так</w:t>
            </w:r>
            <w:r>
              <w:rPr>
                <w:rFonts w:ascii="Times New Roman" w:hAnsi="Times New Roman" w:eastAsia="Times New Roman"/>
                <w:sz w:val="20"/>
                <w:szCs w:val="20"/>
                <w:lang w:val="uk-ua" w:eastAsia="uk-ua"/>
              </w:rPr>
            </w:r>
          </w:p>
        </w:tc>
        <w:tc>
          <w:tcPr>
            <w:tcW w:w="3830"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Особи, як</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мають право брати участь у загальних зборах, мають можлив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сть голосувати дистанц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йно шляхом засв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дчення бюлетеню для голосування за допомогою квал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ф</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кованого електронного п</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дпису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онера (його представника) ( </w:t>
            </w:r>
            <w:r>
              <w:rPr>
                <w:rFonts w:ascii="Times New Roman" w:hAnsi="Times New Roman" w:eastAsia="Times New Roman"/>
                <w:color w:val="000000"/>
                <w:sz w:val="20"/>
                <w:szCs w:val="20"/>
                <w:lang w:eastAsia="uk-ua"/>
              </w:rPr>
              <w:t xml:space="preserve">та/або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ншим засобом електронної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дентиф</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кац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що 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дпов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дає вимогам, визначеним Нац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ональною ком</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с</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єю з 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нних папер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та фондового ринку), а також дистанц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йно отримувати матер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али, пов'язан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з загальними зборами, у 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дпов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дь на запит, п</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дписаний квал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ф</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кованим електронним п</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дписом такого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онера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ншим засобом, що забезпечує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дентиф</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кац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ю та п</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дтвердження направлення документу особою) та направлений на адресу електронної пошти 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дпов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дальної за порядок ознайомлення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в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з документами, необх</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дними для прийняття 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шень з питань порядку денного загальних збор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в, особи. </w:t>
            </w: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tc>
      </w:tr>
      <w:tr>
        <w:trPr>
          <w:cantSplit w:val="0"/>
          <w:trHeight w:val="784" w:hRule="atLeast"/>
        </w:trPr>
        <w:tc>
          <w:tcPr>
            <w:tcW w:w="4504" w:type="dxa"/>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Керівник, фінансовий директор, більшість </w:t>
              <w:br w:type="textWrapping"/>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78"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Так</w:t>
            </w:r>
            <w:r>
              <w:rPr>
                <w:rFonts w:ascii="Times New Roman" w:hAnsi="Times New Roman" w:eastAsia="Times New Roman"/>
                <w:sz w:val="20"/>
                <w:szCs w:val="20"/>
                <w:lang w:val="uk-ua" w:eastAsia="uk-ua"/>
              </w:rPr>
            </w:r>
          </w:p>
        </w:tc>
        <w:tc>
          <w:tcPr>
            <w:tcW w:w="3830"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eastAsia="uk-ua"/>
              </w:rPr>
              <w:t>У очних 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чних загальних зборах кер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вник, голова та/або члени наглядової ради, зовн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шн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й аудитор можуть брати участь, виступати з допов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дями, можуть брати участь в обговореннях.</w:t>
            </w:r>
            <w:r>
              <w:rPr>
                <w:rFonts w:ascii="Times New Roman" w:hAnsi="Times New Roman" w:eastAsia="Times New Roman"/>
                <w:sz w:val="20"/>
                <w:szCs w:val="20"/>
                <w:lang w:val="uk-ua" w:eastAsia="uk-ua"/>
              </w:rPr>
            </w:r>
          </w:p>
        </w:tc>
      </w:tr>
      <w:tr>
        <w:trPr>
          <w:cantSplit w:val="0"/>
          <w:trHeight w:val="784" w:hRule="atLeast"/>
        </w:trPr>
        <w:tc>
          <w:tcPr>
            <w:tcW w:w="4504" w:type="dxa"/>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Особи, які мають можливість брати участь у загальних зборах, мають можливість ставити </w:t>
              <w:br w:type="textWrapping"/>
              <w:t>усні запитання стосовно питань порядку денного і отримувати відповіді на них</w:t>
            </w:r>
          </w:p>
        </w:tc>
        <w:tc>
          <w:tcPr>
            <w:tcW w:w="1578"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Так</w:t>
            </w:r>
            <w:r>
              <w:rPr>
                <w:rFonts w:ascii="Times New Roman" w:hAnsi="Times New Roman" w:eastAsia="Times New Roman"/>
                <w:sz w:val="20"/>
                <w:szCs w:val="20"/>
                <w:lang w:val="uk-ua" w:eastAsia="uk-ua"/>
              </w:rPr>
            </w:r>
          </w:p>
        </w:tc>
        <w:tc>
          <w:tcPr>
            <w:tcW w:w="3830"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eastAsia="uk-ua"/>
              </w:rPr>
              <w:t>У очних загальних зборах передбачається можлив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сть ставити усн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запитання стосовно питань порядку денного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отримувати 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дпов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на них</w:t>
            </w:r>
            <w:r>
              <w:rPr>
                <w:rFonts w:ascii="Times New Roman" w:hAnsi="Times New Roman" w:eastAsia="Times New Roman"/>
                <w:sz w:val="20"/>
                <w:szCs w:val="20"/>
                <w:lang w:val="uk-ua" w:eastAsia="uk-ua"/>
              </w:rPr>
            </w:r>
          </w:p>
        </w:tc>
      </w:tr>
      <w:tr>
        <w:trPr>
          <w:cantSplit w:val="0"/>
          <w:trHeight w:val="430" w:hRule="atLeast"/>
        </w:trPr>
        <w:tc>
          <w:tcPr>
            <w:tcW w:w="4504" w:type="dxa"/>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Детальний регламент проведення загальних зборів визначено статутом та/або внутрішніми документами</w:t>
            </w:r>
          </w:p>
        </w:tc>
        <w:tc>
          <w:tcPr>
            <w:tcW w:w="1578"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0"/>
                <w:szCs w:val="20"/>
                <w:lang w:val="uk-ua" w:eastAsia="uk-ua"/>
              </w:rPr>
            </w:r>
          </w:p>
        </w:tc>
        <w:tc>
          <w:tcPr>
            <w:tcW w:w="3830"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eastAsia="uk-ua"/>
              </w:rPr>
              <w:t>Регламент проведення загальних збор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затверджується першим питанням порядку денного загальних збор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w:t>
            </w:r>
            <w:r>
              <w:rPr>
                <w:rFonts w:ascii="Times New Roman" w:hAnsi="Times New Roman" w:eastAsia="Times New Roman"/>
                <w:sz w:val="20"/>
                <w:szCs w:val="20"/>
                <w:lang w:val="uk-ua" w:eastAsia="uk-ua"/>
              </w:rPr>
            </w:r>
          </w:p>
        </w:tc>
      </w:tr>
      <w:tr>
        <w:trPr>
          <w:cantSplit w:val="0"/>
          <w:trHeight w:val="1138" w:hRule="atLeast"/>
        </w:trPr>
        <w:tc>
          <w:tcPr>
            <w:tcW w:w="4504" w:type="dxa"/>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Протокол та рішення загальних зборів </w:t>
              <w:br w:type="textWrapping"/>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78"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Так</w:t>
            </w:r>
            <w:r>
              <w:rPr>
                <w:rFonts w:ascii="Times New Roman" w:hAnsi="Times New Roman" w:eastAsia="Times New Roman"/>
                <w:sz w:val="20"/>
                <w:szCs w:val="20"/>
                <w:lang w:val="uk-ua" w:eastAsia="uk-ua"/>
              </w:rPr>
            </w:r>
          </w:p>
        </w:tc>
        <w:tc>
          <w:tcPr>
            <w:tcW w:w="3830"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 xml:space="preserve">Протокол та рішення загальних зборів </w:t>
            </w:r>
          </w:p>
          <w:p>
            <w:pPr>
              <w:spacing w:after="0" w:line="240" w:lineRule="auto"/>
              <w:suppressAutoHyphens/>
              <w:hyphenationLines w:val="0"/>
              <w:widowControl w:val="0"/>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tc>
      </w:tr>
      <w:tr>
        <w:trPr>
          <w:cantSplit w:val="0"/>
          <w:trHeight w:val="961" w:hRule="atLeast"/>
        </w:trPr>
        <w:tc>
          <w:tcPr>
            <w:tcW w:w="4504" w:type="dxa"/>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78"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Так</w:t>
            </w:r>
            <w:r>
              <w:rPr>
                <w:rFonts w:ascii="Times New Roman" w:hAnsi="Times New Roman" w:eastAsia="Times New Roman"/>
                <w:sz w:val="20"/>
                <w:szCs w:val="20"/>
                <w:lang w:val="uk-ua" w:eastAsia="uk-ua"/>
              </w:rPr>
            </w:r>
          </w:p>
        </w:tc>
        <w:tc>
          <w:tcPr>
            <w:tcW w:w="3830"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нформац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я, яка необх</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дна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онерам для сприяння їх участ</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у загальних зборах та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нформування про 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шення, ухвален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п</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 час загальних збор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розм</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щується на вебсайт</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Товариства. </w:t>
            </w: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https://fakel.pat.ua/</w:t>
            </w:r>
          </w:p>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tc>
      </w:tr>
      <w:tr>
        <w:trPr>
          <w:cantSplit w:val="0"/>
          <w:trHeight w:val="253" w:hRule="atLeast"/>
        </w:trPr>
        <w:tc>
          <w:tcPr>
            <w:tcW w:w="9912" w:type="dxa"/>
            <w:gridSpan w:val="3"/>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sz w:val="20"/>
                <w:szCs w:val="20"/>
                <w:lang w:val="uk-ua" w:eastAsia="uk-ua"/>
              </w:rPr>
            </w:pPr>
            <w:r>
              <w:rPr>
                <w:rFonts w:ascii="Times New Roman" w:hAnsi="Times New Roman" w:eastAsia="Times New Roman"/>
                <w:b/>
                <w:color w:val="000000"/>
                <w:szCs w:val="20"/>
                <w:lang w:val="uk-ua" w:eastAsia="uk-ua"/>
              </w:rPr>
              <w:t>2) взаємодія з акціонерами</w:t>
            </w:r>
            <w:r>
              <w:rPr>
                <w:rFonts w:ascii="Times New Roman" w:hAnsi="Times New Roman" w:eastAsia="Times New Roman"/>
                <w:color w:val="000000"/>
                <w:sz w:val="20"/>
                <w:szCs w:val="20"/>
                <w:lang w:val="uk-ua" w:eastAsia="uk-ua"/>
              </w:rPr>
            </w:r>
          </w:p>
        </w:tc>
      </w:tr>
      <w:tr>
        <w:trPr>
          <w:cantSplit w:val="0"/>
          <w:trHeight w:val="344" w:hRule="atLeast"/>
        </w:trPr>
        <w:tc>
          <w:tcPr>
            <w:tcW w:w="4504" w:type="dxa"/>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78"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0"/>
                <w:szCs w:val="20"/>
                <w:lang w:val="uk-ua" w:eastAsia="uk-ua"/>
              </w:rPr>
            </w:r>
          </w:p>
        </w:tc>
        <w:tc>
          <w:tcPr>
            <w:tcW w:w="3830"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Товариство керується нормами Закону України "Про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товариства" та "Положення про розкриття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нформац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ем</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тентами 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нних папер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в". </w:t>
            </w: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Пол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тика щодо взаємод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з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онерами, яка сприяла б взаємод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м</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ж Товариством та її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онерами, у вигляд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окремого документа, 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дсутня.</w:t>
            </w: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tc>
      </w:tr>
      <w:tr>
        <w:trPr>
          <w:cantSplit w:val="0"/>
          <w:trHeight w:val="1138" w:hRule="atLeast"/>
        </w:trPr>
        <w:tc>
          <w:tcPr>
            <w:tcW w:w="4504" w:type="dxa"/>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78"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0"/>
                <w:szCs w:val="20"/>
                <w:lang w:val="uk-ua" w:eastAsia="uk-ua"/>
              </w:rPr>
            </w:r>
          </w:p>
        </w:tc>
        <w:tc>
          <w:tcPr>
            <w:tcW w:w="3830"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eastAsia="uk-ua"/>
              </w:rPr>
              <w:t>Товариство керується нормами Закону України "Про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товариства" та "Положення про розкриття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нформац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ем</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тентами 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нних папер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w:t>
            </w:r>
            <w:r>
              <w:rPr>
                <w:rFonts w:ascii="Times New Roman" w:hAnsi="Times New Roman" w:eastAsia="Times New Roman"/>
                <w:sz w:val="20"/>
                <w:szCs w:val="20"/>
                <w:lang w:val="uk-ua" w:eastAsia="uk-ua"/>
              </w:rPr>
            </w:r>
          </w:p>
        </w:tc>
      </w:tr>
      <w:tr>
        <w:trPr>
          <w:cantSplit w:val="0"/>
          <w:trHeight w:val="253" w:hRule="atLeast"/>
        </w:trPr>
        <w:tc>
          <w:tcPr>
            <w:tcW w:w="9912" w:type="dxa"/>
            <w:gridSpan w:val="3"/>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sz w:val="20"/>
                <w:szCs w:val="20"/>
                <w:lang w:val="uk-ua" w:eastAsia="uk-ua"/>
              </w:rPr>
            </w:pPr>
            <w:r>
              <w:rPr>
                <w:rFonts w:ascii="Times New Roman" w:hAnsi="Times New Roman" w:eastAsia="Times New Roman"/>
                <w:b/>
                <w:color w:val="000000"/>
                <w:szCs w:val="20"/>
                <w:lang w:val="uk-ua" w:eastAsia="uk-ua"/>
              </w:rPr>
              <w:t>3) поглинання</w:t>
            </w:r>
            <w:r>
              <w:rPr>
                <w:rFonts w:ascii="Times New Roman" w:hAnsi="Times New Roman" w:eastAsia="Times New Roman"/>
                <w:color w:val="000000"/>
                <w:sz w:val="20"/>
                <w:szCs w:val="20"/>
                <w:lang w:val="uk-ua" w:eastAsia="uk-ua"/>
              </w:rPr>
            </w:r>
          </w:p>
        </w:tc>
      </w:tr>
      <w:tr>
        <w:trPr>
          <w:cantSplit w:val="0"/>
          <w:trHeight w:val="1669" w:hRule="atLeast"/>
        </w:trPr>
        <w:tc>
          <w:tcPr>
            <w:tcW w:w="4504" w:type="dxa"/>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Радою визначено принципи, як вона діятиме у разі пропозиції щодо поглинання, зокрема:</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а) не вчиняти дії щодо протидії поглинанню </w:t>
              <w:br w:type="textWrapping"/>
              <w:t>без відповідного рішення загальних зборів;</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б) надавати акціонерам збалансований аналіз недоліків і переваг будь-якої пропозиції щодо поглинання;</w:t>
            </w:r>
          </w:p>
          <w:p>
            <w:pPr>
              <w:spacing w:after="0" w:line="252" w:lineRule="auto"/>
              <w:suppressAutoHyphens/>
              <w:hyphenationLines w:val="0"/>
              <w:widowControl w:val="0"/>
              <w:tabs defTabSz="708">
                <w:tab w:val="right" w:pos="7767" w:leader="none"/>
              </w:tabs>
              <w:rPr>
                <w:rFonts w:ascii="Times New Roman" w:hAnsi="Times New Roman" w:eastAsia="Times New Roman"/>
                <w:color w:val="000000"/>
                <w:sz w:val="20"/>
                <w:szCs w:val="20"/>
                <w:lang w:val="uk-ua" w:eastAsia="uk-ua"/>
              </w:rPr>
            </w:pPr>
            <w:r>
              <w:rPr>
                <w:rFonts w:ascii="Times New Roman" w:hAnsi="Times New Roman" w:eastAsia="Times New Roman"/>
                <w:b/>
                <w:color w:val="000000"/>
                <w:sz w:val="20"/>
                <w:szCs w:val="20"/>
                <w:lang w:val="uk-ua" w:eastAsia="uk-ua"/>
              </w:rPr>
              <w:t>в) загальні збори приймають остаточне рішення про схвалення або відхилення пропозицій щодо поглинання</w:t>
            </w:r>
            <w:r>
              <w:rPr>
                <w:rFonts w:ascii="Times New Roman" w:hAnsi="Times New Roman" w:eastAsia="Times New Roman"/>
                <w:color w:val="000000"/>
                <w:sz w:val="20"/>
                <w:szCs w:val="20"/>
                <w:lang w:val="uk-ua" w:eastAsia="uk-ua"/>
              </w:rPr>
              <w:t xml:space="preserve"> </w:t>
            </w:r>
          </w:p>
        </w:tc>
        <w:tc>
          <w:tcPr>
            <w:tcW w:w="1578"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0"/>
                <w:szCs w:val="20"/>
                <w:lang w:val="uk-ua" w:eastAsia="uk-ua"/>
              </w:rPr>
            </w:r>
          </w:p>
        </w:tc>
        <w:tc>
          <w:tcPr>
            <w:tcW w:w="3830" w:type="dxa"/>
            <w:vAlign w:val="center"/>
            <w:tcMar>
              <w:top w:w="65" w:type="dxa"/>
              <w:left w:w="68" w:type="dxa"/>
              <w:bottom w:w="65"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шення про схвалення або 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дхилення пропозиц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й щодо поглинання </w:t>
            </w: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повинн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приймати загальн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збори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в. </w:t>
            </w: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tc>
      </w:tr>
      <w:tr>
        <w:trPr>
          <w:cantSplit w:val="0"/>
          <w:trHeight w:val="60" w:hRule="atLeast"/>
        </w:trPr>
        <w:tc>
          <w:tcPr>
            <w:tcW w:w="9912" w:type="dxa"/>
            <w:gridSpan w:val="3"/>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sz w:val="20"/>
                <w:szCs w:val="20"/>
                <w:lang w:val="uk-ua" w:eastAsia="uk-ua"/>
              </w:rPr>
            </w:pPr>
            <w:r>
              <w:rPr>
                <w:rFonts w:ascii="Times New Roman" w:hAnsi="Times New Roman" w:eastAsia="Times New Roman"/>
                <w:b/>
                <w:color w:val="000000"/>
                <w:szCs w:val="20"/>
                <w:lang w:val="uk-ua" w:eastAsia="uk-ua"/>
              </w:rPr>
              <w:t xml:space="preserve">4) інші стейкхолдери </w:t>
            </w:r>
            <w:r>
              <w:rPr>
                <w:rFonts w:ascii="Times New Roman" w:hAnsi="Times New Roman" w:eastAsia="Times New Roman"/>
                <w:color w:val="000000"/>
                <w:sz w:val="20"/>
                <w:szCs w:val="20"/>
                <w:lang w:val="uk-ua" w:eastAsia="uk-ua"/>
              </w:rPr>
            </w:r>
          </w:p>
        </w:tc>
      </w:tr>
      <w:tr>
        <w:trPr>
          <w:cantSplit w:val="0"/>
          <w:trHeight w:val="60" w:hRule="atLeast"/>
        </w:trPr>
        <w:tc>
          <w:tcPr>
            <w:tcW w:w="4504"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7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0"/>
                <w:szCs w:val="20"/>
                <w:lang w:val="uk-ua" w:eastAsia="uk-ua"/>
              </w:rPr>
            </w:r>
          </w:p>
        </w:tc>
        <w:tc>
          <w:tcPr>
            <w:tcW w:w="3830"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eastAsia="uk-ua"/>
              </w:rPr>
              <w:t>Питання затвердження пол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тики вз</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ємод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з</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стейкхолдерами не виносилось на затвердження наглядовою радою в зв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тному роц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w:t>
            </w:r>
            <w:r>
              <w:rPr>
                <w:rFonts w:ascii="Times New Roman" w:hAnsi="Times New Roman" w:eastAsia="Times New Roman"/>
                <w:sz w:val="20"/>
                <w:szCs w:val="20"/>
                <w:lang w:val="uk-ua" w:eastAsia="uk-ua"/>
              </w:rPr>
            </w:r>
          </w:p>
        </w:tc>
      </w:tr>
      <w:tr>
        <w:trPr>
          <w:cantSplit w:val="0"/>
          <w:trHeight w:val="60" w:hRule="atLeast"/>
        </w:trPr>
        <w:tc>
          <w:tcPr>
            <w:tcW w:w="4504"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Особою визначено перелік своїх стейкхолдерів, зокрема і тих, з якими необхідно налагодити безпосередню взаємодію </w:t>
            </w:r>
          </w:p>
        </w:tc>
        <w:tc>
          <w:tcPr>
            <w:tcW w:w="157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0"/>
                <w:szCs w:val="20"/>
                <w:lang w:val="uk-ua" w:eastAsia="uk-ua"/>
              </w:rPr>
            </w:r>
          </w:p>
        </w:tc>
        <w:tc>
          <w:tcPr>
            <w:tcW w:w="3830"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У Товариства 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дсутн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й ун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ф</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кований перел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к стейкхолдер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в. </w:t>
            </w: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Товариство повн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стю волод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є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нформац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єю про своїх стейкхолдер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в, </w:t>
            </w: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tc>
      </w:tr>
      <w:tr>
        <w:trPr>
          <w:cantSplit w:val="0"/>
          <w:trHeight w:val="60" w:hRule="atLeast"/>
        </w:trPr>
        <w:tc>
          <w:tcPr>
            <w:tcW w:w="4504"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Особа розкриває звіт щодо аспектів взаємодії зі стейкхолдерами</w:t>
            </w:r>
          </w:p>
        </w:tc>
        <w:tc>
          <w:tcPr>
            <w:tcW w:w="157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0"/>
                <w:szCs w:val="20"/>
                <w:lang w:val="uk-ua" w:eastAsia="uk-ua"/>
              </w:rPr>
            </w:r>
          </w:p>
        </w:tc>
        <w:tc>
          <w:tcPr>
            <w:tcW w:w="3830"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color w:val="000000"/>
                <w:sz w:val="20"/>
                <w:szCs w:val="20"/>
                <w:lang w:eastAsia="uk-ua"/>
              </w:rPr>
              <w:t>Зв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 щодо аспект</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взаємод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з</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стейкхолдерами не складався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не затверджувався наглядовою радою в зв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тному роц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w:t>
            </w:r>
            <w:r>
              <w:rPr>
                <w:rFonts w:ascii="Times New Roman" w:hAnsi="Times New Roman" w:eastAsia="Times New Roman"/>
                <w:sz w:val="20"/>
                <w:szCs w:val="20"/>
                <w:lang w:val="uk-ua" w:eastAsia="uk-ua"/>
              </w:rPr>
            </w:r>
          </w:p>
        </w:tc>
      </w:tr>
    </w:tbl>
    <w:p>
      <w:pPr>
        <w:rPr>
          <w:rFonts w:eastAsia="Times New Roman"/>
          <w:lang w:val="uk-ua" w:eastAsia="uk-ua"/>
        </w:rPr>
      </w:pPr>
      <w:r>
        <w:rPr>
          <w:rFonts w:eastAsia="Times New Roman"/>
          <w:lang w:val="uk-ua" w:eastAsia="uk-ua"/>
        </w:rPr>
      </w:r>
    </w:p>
    <w:tbl>
      <w:tblPr>
        <w:tblStyle w:val="NormalTable"/>
        <w:name w:val="Таблица29"/>
        <w:tabOrder w:val="0"/>
        <w:jc w:val="left"/>
        <w:tblInd w:w="0" w:type="dxa"/>
        <w:tblW w:w="10051" w:type="dxa"/>
        <w:tblLook w:val="0000" w:firstRow="0" w:lastRow="0" w:firstColumn="0" w:lastColumn="0" w:noHBand="0" w:noVBand="0"/>
      </w:tblPr>
      <w:tblGrid>
        <w:gridCol w:w="4569"/>
        <w:gridCol w:w="1599"/>
        <w:gridCol w:w="3883"/>
      </w:tblGrid>
      <w:tr>
        <w:trPr>
          <w:cantSplit w:val="0"/>
          <w:trHeight w:val="60" w:hRule="atLeast"/>
        </w:trPr>
        <w:tc>
          <w:tcPr>
            <w:tcW w:w="456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color w:val="000000"/>
                <w:lang w:val="uk-ua" w:eastAsia="uk-ua"/>
              </w:rPr>
              <w:t>3. Наглядова рада</w:t>
            </w:r>
            <w:r>
              <w:rPr>
                <w:rFonts w:ascii="Times New Roman" w:hAnsi="Times New Roman" w:eastAsia="Times New Roman"/>
                <w:color w:val="000000"/>
                <w:lang w:val="uk-ua" w:eastAsia="uk-ua"/>
              </w:rPr>
            </w:r>
          </w:p>
        </w:tc>
        <w:tc>
          <w:tcPr>
            <w:tcW w:w="1599"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bCs/>
                <w:color w:val="000000"/>
                <w:lang w:val="uk-ua" w:eastAsia="uk-ua"/>
              </w:rPr>
            </w:pPr>
            <w:r>
              <w:rPr>
                <w:rFonts w:ascii="Times New Roman" w:hAnsi="Times New Roman" w:eastAsia="Times New Roman"/>
                <w:b/>
                <w:bCs/>
                <w:color w:val="000000"/>
                <w:lang w:val="uk-ua" w:eastAsia="uk-ua"/>
              </w:rPr>
              <w:t>Відповідність практики</w:t>
            </w:r>
          </w:p>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bCs/>
                <w:color w:val="000000"/>
                <w:spacing w:val="-2"/>
                <w:lang w:val="uk-ua" w:eastAsia="uk-ua"/>
              </w:rPr>
              <w:t>(Так/Ні)</w:t>
            </w:r>
            <w:r>
              <w:rPr>
                <w:rFonts w:ascii="Times New Roman" w:hAnsi="Times New Roman" w:eastAsia="Times New Roman"/>
                <w:color w:val="000000"/>
                <w:lang w:val="uk-ua" w:eastAsia="uk-ua"/>
              </w:rPr>
            </w:r>
          </w:p>
        </w:tc>
        <w:tc>
          <w:tcPr>
            <w:tcW w:w="3883"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bCs/>
                <w:color w:val="000000"/>
                <w:spacing w:val="-2"/>
                <w:lang w:val="uk-ua" w:eastAsia="uk-ua"/>
              </w:rPr>
              <w:t xml:space="preserve">Опис наявної практики/ </w:t>
              <w:br w:type="textWrapping"/>
              <w:t>обґрунтування відхилення</w:t>
            </w:r>
            <w:r>
              <w:rPr>
                <w:rFonts w:ascii="Times New Roman" w:hAnsi="Times New Roman" w:eastAsia="Times New Roman"/>
                <w:color w:val="000000"/>
                <w:lang w:val="uk-ua" w:eastAsia="uk-ua"/>
              </w:rPr>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Члени наглядової ради не входять до складу наглядових рад у більш ніж 3 інших юридичних особах</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Обмеження по 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лькост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нших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б, в яких член наглядової ради Товариства може входити до складу наглядових рад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нших юридичних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не встановлен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статутом, внутр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шн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ми положеннями Товариства.</w:t>
            </w:r>
            <w:r>
              <w:rPr>
                <w:rFonts w:ascii="Times New Roman" w:hAnsi="Times New Roman" w:eastAsia="Times New Roman"/>
                <w:sz w:val="20"/>
                <w:szCs w:val="20"/>
                <w:lang w:eastAsia="uk-ua"/>
              </w:rPr>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Особа веде облік відвідування засідань наглядової ради та її комітетів</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Обл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дувань зас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дань не ведеться. </w:t>
            </w:r>
            <w:r>
              <w:rPr>
                <w:rFonts w:ascii="Times New Roman" w:hAnsi="Times New Roman" w:eastAsia="Times New Roman"/>
                <w:sz w:val="20"/>
                <w:szCs w:val="20"/>
                <w:lang w:eastAsia="uk-ua"/>
              </w:rPr>
            </w:r>
          </w:p>
          <w:p>
            <w:pPr>
              <w:rPr>
                <w:rFonts w:ascii="Times New Roman" w:hAnsi="Times New Roman" w:eastAsia="Times New Roman"/>
                <w:sz w:val="20"/>
                <w:szCs w:val="20"/>
                <w:lang w:eastAsia="uk-ua"/>
              </w:rPr>
            </w:pP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про ос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б присутн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х на зас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дання наглядової ради зазначається в протоколах зас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дань наглядової ради</w:t>
            </w:r>
            <w:r>
              <w:rPr>
                <w:rFonts w:ascii="Times New Roman" w:hAnsi="Times New Roman" w:eastAsia="Times New Roman"/>
                <w:sz w:val="20"/>
                <w:szCs w:val="20"/>
                <w:lang w:eastAsia="uk-ua"/>
              </w:rPr>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Положення про наглядову раду визначає обов'язок член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наглядової ради сумл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нно виконувати свої функц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ї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дотримуватися принципу лояльност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стосовно Товариства.</w:t>
            </w:r>
            <w:r>
              <w:rPr>
                <w:rFonts w:ascii="Times New Roman" w:hAnsi="Times New Roman" w:eastAsia="Times New Roman"/>
                <w:sz w:val="20"/>
                <w:szCs w:val="20"/>
                <w:lang w:eastAsia="uk-ua"/>
              </w:rPr>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Для здiйснення покладених на неї завдань наглядова рада має право отримувати iнформацiю та документи, що стосуються дiяльностi Товариства, вимагати звiтiв та надання пояснень вiд директора, працiвникiв Товариства, його структурних пiдроздiлiв, а також здiйснювати iншi дiї, якi можуть бути необхiдними для ефективного виконання наглядовою радою своїх завдань.</w:t>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Наглядова рада регулярно оцінює результати діяльності особи та виконавчого органу відповідно до цілей особи</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днодо статуту Товариства регулярна оц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нка результат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яльност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директора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дно до 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лей Товариства зд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йснюється наглядовою радою шляхом розгляду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ту директора на зас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данн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наглядової ради та затвердження заход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за результатами його розгляду.</w:t>
            </w:r>
            <w:r>
              <w:rPr>
                <w:rFonts w:ascii="Times New Roman" w:hAnsi="Times New Roman" w:eastAsia="Times New Roman"/>
                <w:sz w:val="20"/>
                <w:szCs w:val="20"/>
                <w:lang w:eastAsia="uk-ua"/>
              </w:rPr>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В статут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та внутр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шн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х документах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дсутня норма про те, що наглядова рада не має права втручатися у поточне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ння особою, у тому числ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у питання,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належать до сфери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дальност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директора, кр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м як у випадках надзвичайних обставин, як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визначен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належним чином.</w:t>
            </w:r>
            <w:r>
              <w:rPr>
                <w:rFonts w:ascii="Times New Roman" w:hAnsi="Times New Roman" w:eastAsia="Times New Roman"/>
                <w:sz w:val="20"/>
                <w:szCs w:val="20"/>
                <w:lang w:eastAsia="uk-ua"/>
              </w:rPr>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Розмір і навички членів наглядової ради відповідають потребам особи, її розміру та ступеню складності її діяльності</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Профес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йний досв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навички член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наглядової ради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дають потребам Товариства.</w:t>
            </w:r>
            <w:r>
              <w:rPr>
                <w:rFonts w:ascii="Times New Roman" w:hAnsi="Times New Roman" w:eastAsia="Times New Roman"/>
                <w:sz w:val="20"/>
                <w:szCs w:val="20"/>
                <w:lang w:eastAsia="uk-ua"/>
              </w:rPr>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Наглядовою радою визначені і регулярно переглядаються кваліфікаційні вимоги до кандидатів у члени наглядової ради</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Квал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вимоги до кандидат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у члени наглядової ради визначен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встановлено відповідно до діючого законодавства України.</w:t>
            </w:r>
            <w:r>
              <w:rPr>
                <w:rFonts w:ascii="Times New Roman" w:hAnsi="Times New Roman" w:eastAsia="Times New Roman"/>
                <w:sz w:val="20"/>
                <w:szCs w:val="20"/>
                <w:lang w:eastAsia="uk-ua"/>
              </w:rPr>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 та призначення член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наглядової ради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дбувається на основ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профес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йних якостей, досягнень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кандидат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конкретним критер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ям.</w:t>
            </w:r>
            <w:r>
              <w:rPr>
                <w:rFonts w:ascii="Times New Roman" w:hAnsi="Times New Roman" w:eastAsia="Times New Roman"/>
                <w:sz w:val="20"/>
                <w:szCs w:val="20"/>
                <w:lang w:eastAsia="uk-ua"/>
              </w:rPr>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В особі наявна формалізована процедура перевірки кандидатів у члени наглядової ради, </w:t>
              <w:br w:type="textWrapping"/>
              <w:t>яка зокрема включає перевірку добропорядності, наявності конфлікту інтересів, компетентності, навичок і досвіду кандидата</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Процедура перев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рки кандидат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у члени наглядової ради включає перев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рку добропорядност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наявност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конфл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кту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нтерес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компетентност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навичок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досв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ду кандидата</w:t>
            </w:r>
            <w:r>
              <w:rPr>
                <w:rFonts w:ascii="Times New Roman" w:hAnsi="Times New Roman" w:eastAsia="Times New Roman"/>
                <w:sz w:val="20"/>
                <w:szCs w:val="20"/>
                <w:lang w:eastAsia="uk-ua"/>
              </w:rPr>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Процедура відбору передбачає можливість залучення зовнішніх радників та/або процес відкритого пошуку</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Процес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дкритого пошуку кандидат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до складу наглядової ради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дсутн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зовн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шн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радники не залучаються.</w:t>
            </w:r>
            <w:r>
              <w:rPr>
                <w:rFonts w:ascii="Times New Roman" w:hAnsi="Times New Roman" w:eastAsia="Times New Roman"/>
                <w:sz w:val="20"/>
                <w:szCs w:val="20"/>
                <w:lang w:eastAsia="uk-ua"/>
              </w:rPr>
            </w:r>
          </w:p>
        </w:tc>
      </w:tr>
      <w:tr>
        <w:trPr>
          <w:cantSplit w:val="0"/>
          <w:trHeight w:val="60"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Наглядова рада розробляє плани наступництва </w:t>
              <w:br w:type="textWrapping"/>
              <w:t>для членів наглядової ради та виконавчого органу</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Плани наступництва для член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наглядової ради та виконавчого органу не розробляються.</w:t>
            </w:r>
          </w:p>
        </w:tc>
      </w:tr>
      <w:tr>
        <w:trPr>
          <w:cantSplit w:val="0"/>
          <w:trHeight w:val="629"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Наглядова радою затверджено політику щодо різноманіття складу наглядової ради та виконавчого органу</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Пол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тику щодо 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зноман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ття складу наглядової ради та виконавчого органу не затверджено.</w:t>
            </w:r>
            <w:r>
              <w:rPr>
                <w:rFonts w:ascii="Times New Roman" w:hAnsi="Times New Roman" w:eastAsia="Times New Roman"/>
                <w:sz w:val="20"/>
                <w:szCs w:val="20"/>
                <w:lang w:eastAsia="uk-ua"/>
              </w:rPr>
            </w:r>
          </w:p>
        </w:tc>
      </w:tr>
      <w:tr>
        <w:trPr>
          <w:cantSplit w:val="0"/>
          <w:trHeight w:val="446"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Представники однієї зі статей становлять не менше 40 % від складу наглядової ради</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Представники одн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єї з</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статей становлять не менше 40 %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складу наглядової ради.</w:t>
            </w:r>
          </w:p>
        </w:tc>
      </w:tr>
      <w:tr>
        <w:trPr>
          <w:cantSplit w:val="0"/>
          <w:trHeight w:val="446"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Незалежні члени наглядової ради становлять не менше половини від її загального складу</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Незалежні члени наглядової ради становлять не менше половини від її загального складу</w:t>
            </w:r>
          </w:p>
        </w:tc>
      </w:tr>
      <w:tr>
        <w:trPr>
          <w:cantSplit w:val="0"/>
          <w:trHeight w:val="2454"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Члени наглядової ради проходять вступний тренінг після їх обрання, який серед іншого покриває:</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а) обов’язки, функції і сфери відповідальності </w:t>
              <w:br w:type="textWrapping"/>
              <w:t>членів наглядової ради;</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б) незалежність, включаючи незалежність мислення;</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 порядок роботи наглядової ради;</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г) питання відповідальності;</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ґ) питання стратегії особи;</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д) політики особи, включаючи питання етики, конфлікту інтересів та запобігання корупції;</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е) питання звітності та систем контролю, </w:t>
              <w:br w:type="textWrapping"/>
              <w:t>включаючи внутрішній та зовнішній аудит;</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є) роль комітетів наглядової ради</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Новообранi члени наглядової ради самостiйно ознайомлюються зi змiстом внутрiшнiх документiв, якi їм надаються та охоплюють вказанi питання.</w:t>
            </w:r>
          </w:p>
        </w:tc>
      </w:tr>
      <w:tr>
        <w:trPr>
          <w:cantSplit w:val="0"/>
          <w:trHeight w:val="629"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Наглядова рада розробляє план навчання, який визначає, з яких питань необхідно пройти додаткове навчання її членам</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Плани навчання не розробляються.</w:t>
            </w:r>
          </w:p>
        </w:tc>
      </w:tr>
      <w:tr>
        <w:trPr>
          <w:cantSplit w:val="0"/>
          <w:trHeight w:val="446"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Голову наглядової ради обрано серед незалежних членів </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Голова наглядової ради є незалежним членом</w:t>
            </w:r>
          </w:p>
        </w:tc>
      </w:tr>
      <w:tr>
        <w:trPr>
          <w:cantSplit w:val="0"/>
          <w:trHeight w:val="629"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Голові наглядової ради забезпечено можливість для комунікації з акціонерами, у тому числі мажоритарними</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Голов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наглядової ради забезпечено можлив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сть для комун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з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онерами, у тому числ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мажоритарними.</w:t>
            </w:r>
            <w:r>
              <w:rPr>
                <w:rFonts w:ascii="Times New Roman" w:hAnsi="Times New Roman" w:eastAsia="Times New Roman"/>
                <w:sz w:val="20"/>
                <w:szCs w:val="20"/>
                <w:lang w:eastAsia="uk-ua"/>
              </w:rPr>
            </w:r>
          </w:p>
        </w:tc>
      </w:tr>
      <w:tr>
        <w:trPr>
          <w:cantSplit w:val="0"/>
          <w:trHeight w:val="446"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Функції голови наглядової ради визначаються у внутрішніх документах особи</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Функц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голови наглядової ради визначаються у внутр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шньому положенн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про наглядову раду, Статуту Товариства</w:t>
            </w:r>
            <w:r>
              <w:rPr>
                <w:rFonts w:ascii="Times New Roman" w:hAnsi="Times New Roman" w:eastAsia="Times New Roman"/>
                <w:sz w:val="20"/>
                <w:szCs w:val="20"/>
                <w:lang w:eastAsia="uk-ua"/>
              </w:rPr>
            </w:r>
          </w:p>
        </w:tc>
      </w:tr>
      <w:tr>
        <w:trPr>
          <w:cantSplit w:val="0"/>
          <w:trHeight w:val="446"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Створена посада та призначено корпоративного секретаря </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Посада корпоративного секретаря не створена</w:t>
            </w:r>
          </w:p>
        </w:tc>
      </w:tr>
      <w:tr>
        <w:trPr>
          <w:cantSplit w:val="0"/>
          <w:trHeight w:val="264" w:hRule="atLeast"/>
        </w:trPr>
        <w:tc>
          <w:tcPr>
            <w:tcW w:w="10051" w:type="dxa"/>
            <w:gridSpan w:val="3"/>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color w:val="000000"/>
                <w:lang w:val="uk-ua" w:eastAsia="uk-ua"/>
              </w:rPr>
              <w:t>1) комітети наглядової ради</w:t>
            </w:r>
            <w:r>
              <w:rPr>
                <w:rFonts w:ascii="Times New Roman" w:hAnsi="Times New Roman" w:eastAsia="Times New Roman"/>
                <w:color w:val="000000"/>
                <w:lang w:val="uk-ua" w:eastAsia="uk-ua"/>
              </w:rPr>
            </w:r>
          </w:p>
        </w:tc>
      </w:tr>
      <w:tr>
        <w:trPr>
          <w:cantSplit w:val="0"/>
          <w:trHeight w:val="629"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Наглядовою радою створено комітети та затверджені внутрішні документи, які регулюють їх діяльність</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Комітети Наглядової ради не створювались, відповідні внутрішні документи не затверджувались</w:t>
            </w:r>
          </w:p>
        </w:tc>
      </w:tr>
      <w:tr>
        <w:trPr>
          <w:cantSplit w:val="0"/>
          <w:trHeight w:val="994"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Комітети Наглядової ради не створювались, відповідні внутрішні документи не затверджувались.</w:t>
            </w:r>
          </w:p>
        </w:tc>
      </w:tr>
      <w:tr>
        <w:trPr>
          <w:cantSplit w:val="0"/>
          <w:trHeight w:val="446"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Члени комітету з питань аудиту не входять до складу інших комітетів наглядової ради </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Комiтети не створено.</w:t>
            </w:r>
          </w:p>
        </w:tc>
      </w:tr>
      <w:tr>
        <w:trPr>
          <w:cantSplit w:val="0"/>
          <w:trHeight w:val="994"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Комiтети не створено.</w:t>
            </w:r>
          </w:p>
        </w:tc>
      </w:tr>
      <w:tr>
        <w:trPr>
          <w:cantSplit w:val="0"/>
          <w:trHeight w:val="482"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Комiтети не створено.</w:t>
            </w:r>
          </w:p>
        </w:tc>
      </w:tr>
      <w:tr>
        <w:trPr>
          <w:cantSplit w:val="0"/>
          <w:trHeight w:val="446" w:hRule="atLeast"/>
        </w:trPr>
        <w:tc>
          <w:tcPr>
            <w:tcW w:w="456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Більшість комітету з питань ризиків становлять незалежні члени </w:t>
            </w:r>
          </w:p>
        </w:tc>
        <w:tc>
          <w:tcPr>
            <w:tcW w:w="15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83"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Комiтети не створено.</w:t>
            </w:r>
          </w:p>
        </w:tc>
      </w:tr>
    </w:tbl>
    <w:p>
      <w:pPr>
        <w:rPr>
          <w:rFonts w:eastAsia="Times New Roman"/>
          <w:lang w:val="uk-ua" w:eastAsia="uk-ua"/>
        </w:rPr>
      </w:pPr>
      <w:r>
        <w:rPr>
          <w:rFonts w:eastAsia="Times New Roman"/>
          <w:lang w:val="uk-ua" w:eastAsia="uk-ua"/>
        </w:rPr>
      </w:r>
    </w:p>
    <w:tbl>
      <w:tblPr>
        <w:tblStyle w:val="NormalTable"/>
        <w:name w:val="Таблица30"/>
        <w:tabOrder w:val="0"/>
        <w:jc w:val="left"/>
        <w:tblInd w:w="0" w:type="dxa"/>
        <w:tblW w:w="9912" w:type="dxa"/>
        <w:tblLook w:val="0000" w:firstRow="0" w:lastRow="0" w:firstColumn="0" w:lastColumn="0" w:noHBand="0" w:noVBand="0"/>
      </w:tblPr>
      <w:tblGrid>
        <w:gridCol w:w="4505"/>
        <w:gridCol w:w="1586"/>
        <w:gridCol w:w="3821"/>
      </w:tblGrid>
      <w:tr>
        <w:trPr>
          <w:cantSplit w:val="0"/>
          <w:trHeight w:val="60" w:hRule="atLeast"/>
        </w:trPr>
        <w:tc>
          <w:tcPr>
            <w:tcW w:w="450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color w:val="000000"/>
                <w:lang w:val="uk-ua" w:eastAsia="uk-ua"/>
              </w:rPr>
              <w:t>4. Виконавчий орган</w:t>
            </w:r>
            <w:r>
              <w:rPr>
                <w:rFonts w:ascii="Times New Roman" w:hAnsi="Times New Roman" w:eastAsia="Times New Roman"/>
                <w:color w:val="000000"/>
                <w:lang w:val="uk-ua" w:eastAsia="uk-ua"/>
              </w:rPr>
            </w:r>
          </w:p>
        </w:tc>
        <w:tc>
          <w:tcPr>
            <w:tcW w:w="158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bCs/>
                <w:color w:val="000000"/>
                <w:lang w:val="uk-ua" w:eastAsia="uk-ua"/>
              </w:rPr>
            </w:pPr>
            <w:r>
              <w:rPr>
                <w:rFonts w:ascii="Times New Roman" w:hAnsi="Times New Roman" w:eastAsia="Times New Roman"/>
                <w:b/>
                <w:bCs/>
                <w:color w:val="000000"/>
                <w:lang w:val="uk-ua" w:eastAsia="uk-ua"/>
              </w:rPr>
              <w:t>Відповідність практики</w:t>
            </w:r>
          </w:p>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bCs/>
                <w:color w:val="000000"/>
                <w:spacing w:val="-2"/>
                <w:lang w:val="uk-ua" w:eastAsia="uk-ua"/>
              </w:rPr>
              <w:t>(Так/Ні)</w:t>
            </w:r>
            <w:r>
              <w:rPr>
                <w:rFonts w:ascii="Times New Roman" w:hAnsi="Times New Roman" w:eastAsia="Times New Roman"/>
                <w:color w:val="000000"/>
                <w:lang w:val="uk-ua" w:eastAsia="uk-ua"/>
              </w:rPr>
            </w:r>
          </w:p>
        </w:tc>
        <w:tc>
          <w:tcPr>
            <w:tcW w:w="3821"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bCs/>
                <w:color w:val="000000"/>
                <w:spacing w:val="-2"/>
                <w:lang w:val="uk-ua" w:eastAsia="uk-ua"/>
              </w:rPr>
              <w:t xml:space="preserve">Опис наявної практики/ </w:t>
              <w:br w:type="textWrapping"/>
              <w:t>обґрунтування відхилення</w:t>
            </w:r>
            <w:r>
              <w:rPr>
                <w:rFonts w:ascii="Times New Roman" w:hAnsi="Times New Roman" w:eastAsia="Times New Roman"/>
                <w:color w:val="000000"/>
                <w:lang w:val="uk-ua" w:eastAsia="uk-ua"/>
              </w:rPr>
            </w:r>
          </w:p>
        </w:tc>
      </w:tr>
      <w:tr>
        <w:trPr>
          <w:cantSplit w:val="0"/>
          <w:trHeight w:val="60" w:hRule="atLeast"/>
        </w:trPr>
        <w:tc>
          <w:tcPr>
            <w:tcW w:w="4505"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Виконавчий орган розробляє стратегію особи, </w:t>
              <w:br w:type="textWrapping"/>
              <w:t>яка затверджується рішенням Наглядової ради</w:t>
            </w:r>
          </w:p>
        </w:tc>
        <w:tc>
          <w:tcPr>
            <w:tcW w:w="1586"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4"/>
                <w:szCs w:val="24"/>
                <w:lang w:val="uk-ua" w:eastAsia="uk-ua"/>
              </w:rPr>
            </w:r>
          </w:p>
        </w:tc>
        <w:tc>
          <w:tcPr>
            <w:tcW w:w="3821"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color w:val="000000"/>
                <w:sz w:val="20"/>
                <w:szCs w:val="20"/>
                <w:lang w:eastAsia="uk-ua"/>
              </w:rPr>
              <w:t>Визначення основних напрям</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яльност</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Товариства 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дпов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дно до статуту є виключною компетенц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єю загальних збор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в.</w:t>
            </w:r>
            <w:r>
              <w:rPr>
                <w:rFonts w:ascii="Times New Roman" w:hAnsi="Times New Roman" w:eastAsia="Times New Roman"/>
                <w:sz w:val="24"/>
                <w:szCs w:val="24"/>
                <w:lang w:val="uk-ua" w:eastAsia="uk-ua"/>
              </w:rPr>
            </w:r>
          </w:p>
        </w:tc>
      </w:tr>
      <w:tr>
        <w:trPr>
          <w:cantSplit w:val="0"/>
          <w:trHeight w:val="60" w:hRule="atLeast"/>
        </w:trPr>
        <w:tc>
          <w:tcPr>
            <w:tcW w:w="4505"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Наглядова рада визначає ключові показники ефективності Виконавчому органу для відстеження прогресу у досягненні цілей особи</w:t>
            </w:r>
          </w:p>
        </w:tc>
        <w:tc>
          <w:tcPr>
            <w:tcW w:w="1586"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4"/>
                <w:szCs w:val="24"/>
                <w:lang w:val="uk-ua" w:eastAsia="uk-ua"/>
              </w:rPr>
            </w:r>
          </w:p>
        </w:tc>
        <w:tc>
          <w:tcPr>
            <w:tcW w:w="3821"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color w:val="000000"/>
                <w:sz w:val="20"/>
                <w:szCs w:val="20"/>
                <w:lang w:eastAsia="uk-ua"/>
              </w:rPr>
              <w:t>Рада не визначає ключові показники ефективності Виконавчому органу для відстеження прогресу у досягненні цілей особи</w:t>
            </w:r>
            <w:r>
              <w:rPr>
                <w:rFonts w:ascii="Times New Roman" w:hAnsi="Times New Roman" w:eastAsia="Times New Roman"/>
                <w:sz w:val="24"/>
                <w:szCs w:val="24"/>
                <w:lang w:val="uk-ua" w:eastAsia="uk-ua"/>
              </w:rPr>
            </w:r>
          </w:p>
        </w:tc>
      </w:tr>
      <w:tr>
        <w:trPr>
          <w:cantSplit w:val="0"/>
          <w:trHeight w:val="60" w:hRule="atLeast"/>
        </w:trPr>
        <w:tc>
          <w:tcPr>
            <w:tcW w:w="4505"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Виконавчий орган регулярно звітує Наглядовій раді про прогрес у впровадженні стратегії особи </w:t>
            </w:r>
          </w:p>
        </w:tc>
        <w:tc>
          <w:tcPr>
            <w:tcW w:w="1586"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4"/>
                <w:szCs w:val="24"/>
                <w:lang w:val="uk-ua" w:eastAsia="uk-ua"/>
              </w:rPr>
            </w:r>
          </w:p>
        </w:tc>
        <w:tc>
          <w:tcPr>
            <w:tcW w:w="3821"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color w:val="000000"/>
                <w:sz w:val="20"/>
                <w:szCs w:val="20"/>
                <w:lang w:eastAsia="uk-ua"/>
              </w:rPr>
              <w:t>Виконавчий орган  звітує перед загальними зборами акціонерів</w:t>
            </w:r>
            <w:r>
              <w:rPr>
                <w:rFonts w:ascii="Times New Roman" w:hAnsi="Times New Roman" w:eastAsia="Times New Roman"/>
                <w:sz w:val="24"/>
                <w:szCs w:val="24"/>
                <w:lang w:val="uk-ua" w:eastAsia="uk-ua"/>
              </w:rPr>
            </w:r>
          </w:p>
        </w:tc>
      </w:tr>
      <w:tr>
        <w:trPr>
          <w:cantSplit w:val="0"/>
          <w:trHeight w:val="60" w:hRule="atLeast"/>
        </w:trPr>
        <w:tc>
          <w:tcPr>
            <w:tcW w:w="4505"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Виконавчий орган інформує голову Наглядової ради про будь-які значні події, які сталися в період між засіданнями Наглядової ради</w:t>
            </w:r>
          </w:p>
        </w:tc>
        <w:tc>
          <w:tcPr>
            <w:tcW w:w="1586"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color w:val="000000"/>
                <w:sz w:val="20"/>
                <w:szCs w:val="20"/>
                <w:lang w:val="en-us" w:eastAsia="uk-ua"/>
              </w:rPr>
              <w:t>Ні</w:t>
            </w:r>
            <w:r>
              <w:rPr>
                <w:rFonts w:ascii="Times New Roman" w:hAnsi="Times New Roman" w:eastAsia="Times New Roman"/>
                <w:sz w:val="24"/>
                <w:szCs w:val="24"/>
                <w:lang w:val="uk-ua" w:eastAsia="uk-ua"/>
              </w:rPr>
            </w:r>
          </w:p>
        </w:tc>
        <w:tc>
          <w:tcPr>
            <w:tcW w:w="3821"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color w:val="000000"/>
                <w:sz w:val="20"/>
                <w:szCs w:val="20"/>
                <w:lang w:val="uk-ua" w:eastAsia="uk-ua"/>
              </w:rPr>
              <w:t xml:space="preserve">Голова правління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нформує загальні збори акціонерів та голову Наглядової ради про будь-як</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 xml:space="preserve"> значн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 xml:space="preserve"> под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ї, як</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 xml:space="preserve"> сталися в пер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од м</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ж зас</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даннями Наглядової ради.</w:t>
            </w:r>
            <w:r>
              <w:rPr>
                <w:rFonts w:ascii="Times New Roman" w:hAnsi="Times New Roman" w:eastAsia="Times New Roman"/>
                <w:sz w:val="24"/>
                <w:szCs w:val="24"/>
                <w:lang w:val="uk-ua" w:eastAsia="uk-ua"/>
              </w:rPr>
            </w:r>
          </w:p>
        </w:tc>
      </w:tr>
    </w:tbl>
    <w:p>
      <w:pPr>
        <w:rPr>
          <w:rFonts w:eastAsia="Times New Roman"/>
          <w:lang w:val="uk-ua" w:eastAsia="uk-ua"/>
        </w:rPr>
      </w:pPr>
      <w:r>
        <w:rPr>
          <w:rFonts w:eastAsia="Times New Roman"/>
          <w:lang w:val="uk-ua" w:eastAsia="uk-ua"/>
        </w:rPr>
      </w:r>
    </w:p>
    <w:tbl>
      <w:tblPr>
        <w:tblStyle w:val="NormalTable"/>
        <w:name w:val="Таблица31"/>
        <w:tabOrder w:val="0"/>
        <w:jc w:val="left"/>
        <w:tblInd w:w="0" w:type="dxa"/>
        <w:tblW w:w="9912" w:type="dxa"/>
        <w:tblLook w:val="0000" w:firstRow="0" w:lastRow="0" w:firstColumn="0" w:lastColumn="0" w:noHBand="0" w:noVBand="0"/>
      </w:tblPr>
      <w:tblGrid>
        <w:gridCol w:w="4504"/>
        <w:gridCol w:w="1578"/>
        <w:gridCol w:w="3830"/>
      </w:tblGrid>
      <w:tr>
        <w:trPr>
          <w:cantSplit w:val="0"/>
          <w:trHeight w:val="60" w:hRule="atLeast"/>
        </w:trPr>
        <w:tc>
          <w:tcPr>
            <w:tcW w:w="4504"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color w:val="000000"/>
                <w:lang w:val="uk-ua" w:eastAsia="uk-ua"/>
              </w:rPr>
              <w:t>6. Винагорода</w:t>
            </w:r>
            <w:r>
              <w:rPr>
                <w:rFonts w:ascii="Times New Roman" w:hAnsi="Times New Roman" w:eastAsia="Times New Roman"/>
                <w:color w:val="000000"/>
                <w:lang w:val="uk-ua" w:eastAsia="uk-ua"/>
              </w:rPr>
            </w:r>
          </w:p>
        </w:tc>
        <w:tc>
          <w:tcPr>
            <w:tcW w:w="1578"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bCs/>
                <w:color w:val="000000"/>
                <w:lang w:val="uk-ua" w:eastAsia="uk-ua"/>
              </w:rPr>
            </w:pPr>
            <w:r>
              <w:rPr>
                <w:rFonts w:ascii="Times New Roman" w:hAnsi="Times New Roman" w:eastAsia="Times New Roman"/>
                <w:b/>
                <w:bCs/>
                <w:color w:val="000000"/>
                <w:lang w:val="uk-ua" w:eastAsia="uk-ua"/>
              </w:rPr>
              <w:t>Відповідність практики</w:t>
            </w:r>
          </w:p>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sz w:val="24"/>
                <w:szCs w:val="24"/>
                <w:lang w:val="uk-ua" w:eastAsia="uk-ua"/>
              </w:rPr>
            </w:pPr>
            <w:r>
              <w:rPr>
                <w:rFonts w:ascii="Times New Roman" w:hAnsi="Times New Roman" w:eastAsia="Times New Roman"/>
                <w:b/>
                <w:bCs/>
                <w:color w:val="000000"/>
                <w:spacing w:val="-2"/>
                <w:lang w:val="uk-ua" w:eastAsia="uk-ua"/>
              </w:rPr>
              <w:t>(Так/Ні)</w:t>
            </w:r>
            <w:r>
              <w:rPr>
                <w:rFonts w:ascii="Times New Roman" w:hAnsi="Times New Roman" w:eastAsia="Times New Roman"/>
                <w:color w:val="000000"/>
                <w:sz w:val="24"/>
                <w:szCs w:val="24"/>
                <w:lang w:val="uk-ua" w:eastAsia="uk-ua"/>
              </w:rPr>
            </w:r>
          </w:p>
        </w:tc>
        <w:tc>
          <w:tcPr>
            <w:tcW w:w="383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sz w:val="24"/>
                <w:szCs w:val="24"/>
                <w:lang w:val="uk-ua" w:eastAsia="uk-ua"/>
              </w:rPr>
            </w:pPr>
            <w:r>
              <w:rPr>
                <w:rFonts w:ascii="Times New Roman" w:hAnsi="Times New Roman" w:eastAsia="Times New Roman"/>
                <w:b/>
                <w:bCs/>
                <w:color w:val="000000"/>
                <w:spacing w:val="-2"/>
                <w:lang w:val="uk-ua" w:eastAsia="uk-ua"/>
              </w:rPr>
              <w:t xml:space="preserve">Опис наявної практики/ </w:t>
              <w:br w:type="textWrapping"/>
              <w:t>обґрунтування відхилення</w:t>
            </w:r>
            <w:r>
              <w:rPr>
                <w:rFonts w:ascii="Times New Roman" w:hAnsi="Times New Roman" w:eastAsia="Times New Roman"/>
                <w:color w:val="000000"/>
                <w:sz w:val="24"/>
                <w:szCs w:val="24"/>
                <w:lang w:val="uk-ua" w:eastAsia="uk-ua"/>
              </w:rPr>
            </w:r>
          </w:p>
        </w:tc>
      </w:tr>
      <w:tr>
        <w:trPr>
          <w:cantSplit w:val="0"/>
          <w:trHeight w:val="60" w:hRule="atLeast"/>
        </w:trPr>
        <w:tc>
          <w:tcPr>
            <w:tcW w:w="4504"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7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30"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Члени ради працюють на безоплатн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основ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Винагорода Голови правління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дає ринковим показникам у галуз</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w:t>
            </w:r>
            <w:r>
              <w:rPr>
                <w:rFonts w:ascii="Times New Roman" w:hAnsi="Times New Roman" w:eastAsia="Times New Roman"/>
                <w:sz w:val="20"/>
                <w:szCs w:val="20"/>
                <w:lang w:eastAsia="uk-ua"/>
              </w:rPr>
            </w:r>
          </w:p>
        </w:tc>
      </w:tr>
      <w:tr>
        <w:trPr>
          <w:cantSplit w:val="0"/>
          <w:trHeight w:val="60" w:hRule="atLeast"/>
        </w:trPr>
        <w:tc>
          <w:tcPr>
            <w:tcW w:w="4504"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Розмір винагороди для виконавчого органу пов’язаний з результатами діяльності особи</w:t>
            </w:r>
          </w:p>
        </w:tc>
        <w:tc>
          <w:tcPr>
            <w:tcW w:w="157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30"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Розмір винагороди Голови правління пов'язаний з результатами діяльності Товариства.</w:t>
            </w:r>
          </w:p>
        </w:tc>
      </w:tr>
      <w:tr>
        <w:trPr>
          <w:cantSplit w:val="0"/>
          <w:trHeight w:val="60" w:hRule="atLeast"/>
        </w:trPr>
        <w:tc>
          <w:tcPr>
            <w:tcW w:w="4504"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Винагорода членів ради (невиконавчих директорів) є фіксованою та не залежить від досягнення особою фінансових показників</w:t>
            </w:r>
          </w:p>
        </w:tc>
        <w:tc>
          <w:tcPr>
            <w:tcW w:w="157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30"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Члени ради працюють на безоплатн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основ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w:t>
            </w:r>
          </w:p>
        </w:tc>
      </w:tr>
    </w:tbl>
    <w:p>
      <w:pPr>
        <w:rPr>
          <w:rFonts w:eastAsia="Times New Roman"/>
          <w:lang w:val="uk-ua" w:eastAsia="uk-ua"/>
        </w:rPr>
      </w:pPr>
      <w:r>
        <w:rPr>
          <w:rFonts w:eastAsia="Times New Roman"/>
          <w:lang w:val="uk-ua" w:eastAsia="uk-ua"/>
        </w:rPr>
      </w:r>
    </w:p>
    <w:tbl>
      <w:tblPr>
        <w:tblStyle w:val="NormalTable"/>
        <w:name w:val="Таблица32"/>
        <w:tabOrder w:val="0"/>
        <w:jc w:val="left"/>
        <w:tblInd w:w="0" w:type="dxa"/>
        <w:tblW w:w="9912" w:type="dxa"/>
        <w:tblLook w:val="0000" w:firstRow="0" w:lastRow="0" w:firstColumn="0" w:lastColumn="0" w:noHBand="0" w:noVBand="0"/>
      </w:tblPr>
      <w:tblGrid>
        <w:gridCol w:w="4499"/>
        <w:gridCol w:w="1585"/>
        <w:gridCol w:w="3828"/>
      </w:tblGrid>
      <w:tr>
        <w:trPr>
          <w:cantSplit w:val="0"/>
          <w:trHeight w:val="60" w:hRule="atLeast"/>
        </w:trPr>
        <w:tc>
          <w:tcPr>
            <w:tcW w:w="4499"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sz w:val="24"/>
                <w:szCs w:val="24"/>
                <w:lang w:val="uk-ua" w:eastAsia="uk-ua"/>
              </w:rPr>
            </w:pPr>
            <w:r>
              <w:rPr>
                <w:rFonts w:ascii="Times New Roman" w:hAnsi="Times New Roman" w:eastAsia="Times New Roman"/>
                <w:b/>
                <w:color w:val="000000"/>
                <w:szCs w:val="24"/>
                <w:lang w:val="uk-ua" w:eastAsia="uk-ua"/>
              </w:rPr>
              <w:t>7. Розкриття інформації і прозорість</w:t>
            </w:r>
            <w:r>
              <w:rPr>
                <w:rFonts w:ascii="Times New Roman" w:hAnsi="Times New Roman" w:eastAsia="Times New Roman"/>
                <w:color w:val="000000"/>
                <w:sz w:val="24"/>
                <w:szCs w:val="24"/>
                <w:lang w:val="uk-ua" w:eastAsia="uk-ua"/>
              </w:rPr>
            </w:r>
          </w:p>
        </w:tc>
        <w:tc>
          <w:tcPr>
            <w:tcW w:w="1585"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bCs/>
                <w:color w:val="000000"/>
                <w:lang w:val="uk-ua" w:eastAsia="uk-ua"/>
              </w:rPr>
            </w:pPr>
            <w:r>
              <w:rPr>
                <w:rFonts w:ascii="Times New Roman" w:hAnsi="Times New Roman" w:eastAsia="Times New Roman"/>
                <w:b/>
                <w:bCs/>
                <w:color w:val="000000"/>
                <w:lang w:val="uk-ua" w:eastAsia="uk-ua"/>
              </w:rPr>
              <w:t>Відповідність практики</w:t>
            </w:r>
          </w:p>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sz w:val="24"/>
                <w:szCs w:val="24"/>
                <w:lang w:val="uk-ua" w:eastAsia="uk-ua"/>
              </w:rPr>
            </w:pPr>
            <w:r>
              <w:rPr>
                <w:rFonts w:ascii="Times New Roman" w:hAnsi="Times New Roman" w:eastAsia="Times New Roman"/>
                <w:b/>
                <w:bCs/>
                <w:color w:val="000000"/>
                <w:spacing w:val="-2"/>
                <w:lang w:val="uk-ua" w:eastAsia="uk-ua"/>
              </w:rPr>
              <w:t>(Так/Ні)</w:t>
            </w:r>
            <w:r>
              <w:rPr>
                <w:rFonts w:ascii="Times New Roman" w:hAnsi="Times New Roman" w:eastAsia="Times New Roman"/>
                <w:color w:val="000000"/>
                <w:sz w:val="24"/>
                <w:szCs w:val="24"/>
                <w:lang w:val="uk-ua" w:eastAsia="uk-ua"/>
              </w:rPr>
            </w:r>
          </w:p>
        </w:tc>
        <w:tc>
          <w:tcPr>
            <w:tcW w:w="3828"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sz w:val="24"/>
                <w:szCs w:val="24"/>
                <w:lang w:val="uk-ua" w:eastAsia="uk-ua"/>
              </w:rPr>
            </w:pPr>
            <w:r>
              <w:rPr>
                <w:rFonts w:ascii="Times New Roman" w:hAnsi="Times New Roman" w:eastAsia="Times New Roman"/>
                <w:b/>
                <w:bCs/>
                <w:color w:val="000000"/>
                <w:spacing w:val="-2"/>
                <w:lang w:val="uk-ua" w:eastAsia="uk-ua"/>
              </w:rPr>
              <w:t xml:space="preserve">Опис наявної практики/ </w:t>
              <w:br w:type="textWrapping"/>
              <w:t>обґрунтування відхилення</w:t>
            </w:r>
            <w:r>
              <w:rPr>
                <w:rFonts w:ascii="Times New Roman" w:hAnsi="Times New Roman" w:eastAsia="Times New Roman"/>
                <w:color w:val="000000"/>
                <w:sz w:val="24"/>
                <w:szCs w:val="24"/>
                <w:lang w:val="uk-ua" w:eastAsia="uk-ua"/>
              </w:rPr>
            </w:r>
          </w:p>
        </w:tc>
      </w:tr>
      <w:tr>
        <w:trPr>
          <w:cantSplit w:val="0"/>
          <w:trHeight w:val="60" w:hRule="atLeast"/>
        </w:trPr>
        <w:tc>
          <w:tcPr>
            <w:tcW w:w="449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xml:space="preserve">В особі затверджена та оприлюднена політика </w:t>
              <w:br w:type="textWrapping"/>
              <w:t>щодо розкриття інформації, яка визначає інформацію, що її повинна розкривати особа</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Полiтика щодо розкриття iнформацiї у виглядi окремого документа не затверджувалася, при розкриттi iнформацiї Товариство керується вимогами НКЦПФР, зокрема Положенням про розкриття iнформацiї емiтентами цiнних паперiв.</w:t>
            </w:r>
          </w:p>
        </w:tc>
      </w:tr>
      <w:tr>
        <w:trPr>
          <w:cantSplit w:val="0"/>
          <w:trHeight w:val="60" w:hRule="atLeast"/>
        </w:trPr>
        <w:tc>
          <w:tcPr>
            <w:tcW w:w="449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br w:type="textWrapping"/>
              <w:t xml:space="preserve">складання фінансових звітів особи відповідно до чинного законодавства та міжнародних </w:t>
              <w:br w:type="textWrapping"/>
              <w:t>стандартів фінансової звітності</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Нагляд ради за виконавчим органом у 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дготовц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нансової 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за МСФЗ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дсутн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w:t>
            </w:r>
            <w:r>
              <w:rPr>
                <w:rFonts w:ascii="Times New Roman" w:hAnsi="Times New Roman" w:eastAsia="Times New Roman"/>
                <w:sz w:val="20"/>
                <w:szCs w:val="20"/>
                <w:lang w:eastAsia="uk-ua"/>
              </w:rPr>
            </w:r>
          </w:p>
        </w:tc>
      </w:tr>
      <w:tr>
        <w:trPr>
          <w:cantSplit w:val="0"/>
          <w:trHeight w:val="60" w:hRule="atLeast"/>
        </w:trPr>
        <w:tc>
          <w:tcPr>
            <w:tcW w:w="4499"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Адреса вебсайту особи містить окремий розділ, присвячений виключно питанням корпоративного управління</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Так</w:t>
            </w:r>
          </w:p>
        </w:tc>
        <w:tc>
          <w:tcPr>
            <w:tcW w:w="3828"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Веб-сайт Товариства 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стить окремий розд</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л, присвячений виключно питанням корпоративного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ння, це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для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в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стейкхолдер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w:t>
            </w:r>
            <w:r>
              <w:rPr>
                <w:rFonts w:ascii="Times New Roman" w:hAnsi="Times New Roman" w:eastAsia="Times New Roman"/>
                <w:sz w:val="20"/>
                <w:szCs w:val="20"/>
                <w:lang w:eastAsia="uk-ua"/>
              </w:rPr>
            </w:r>
          </w:p>
        </w:tc>
      </w:tr>
    </w:tbl>
    <w:p>
      <w:pPr>
        <w:rPr>
          <w:rFonts w:eastAsia="Times New Roman"/>
          <w:lang w:val="uk-ua" w:eastAsia="uk-ua"/>
        </w:rPr>
      </w:pPr>
      <w:r>
        <w:rPr>
          <w:rFonts w:eastAsia="Times New Roman"/>
          <w:lang w:val="uk-ua" w:eastAsia="uk-ua"/>
        </w:rPr>
      </w:r>
    </w:p>
    <w:tbl>
      <w:tblPr>
        <w:tblStyle w:val="NormalTable"/>
        <w:name w:val="Таблица33"/>
        <w:tabOrder w:val="0"/>
        <w:jc w:val="left"/>
        <w:tblInd w:w="0" w:type="dxa"/>
        <w:tblW w:w="9912" w:type="dxa"/>
        <w:tblLook w:val="0000" w:firstRow="0" w:lastRow="0" w:firstColumn="0" w:lastColumn="0" w:noHBand="0" w:noVBand="0"/>
      </w:tblPr>
      <w:tblGrid>
        <w:gridCol w:w="4502"/>
        <w:gridCol w:w="1585"/>
        <w:gridCol w:w="3825"/>
      </w:tblGrid>
      <w:tr>
        <w:trPr>
          <w:cantSplit w:val="0"/>
          <w:trHeight w:val="60" w:hRule="atLeast"/>
        </w:trPr>
        <w:tc>
          <w:tcPr>
            <w:tcW w:w="4502"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sz w:val="24"/>
                <w:szCs w:val="24"/>
                <w:lang w:val="uk-ua" w:eastAsia="uk-ua"/>
              </w:rPr>
            </w:pPr>
            <w:r>
              <w:rPr>
                <w:rFonts w:ascii="Times New Roman" w:hAnsi="Times New Roman" w:eastAsia="Times New Roman"/>
                <w:b/>
                <w:color w:val="000000"/>
                <w:szCs w:val="24"/>
                <w:lang w:val="uk-ua" w:eastAsia="uk-ua"/>
              </w:rPr>
              <w:t>8. Система контролю і стандарти етики</w:t>
            </w:r>
            <w:r>
              <w:rPr>
                <w:rFonts w:ascii="Times New Roman" w:hAnsi="Times New Roman" w:eastAsia="Times New Roman"/>
                <w:color w:val="000000"/>
                <w:sz w:val="24"/>
                <w:szCs w:val="24"/>
                <w:lang w:val="uk-ua" w:eastAsia="uk-ua"/>
              </w:rPr>
            </w:r>
          </w:p>
        </w:tc>
        <w:tc>
          <w:tcPr>
            <w:tcW w:w="1585"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bCs/>
                <w:color w:val="000000"/>
                <w:lang w:val="uk-ua" w:eastAsia="uk-ua"/>
              </w:rPr>
            </w:pPr>
            <w:r>
              <w:rPr>
                <w:rFonts w:ascii="Times New Roman" w:hAnsi="Times New Roman" w:eastAsia="Times New Roman"/>
                <w:b/>
                <w:bCs/>
                <w:color w:val="000000"/>
                <w:lang w:val="uk-ua" w:eastAsia="uk-ua"/>
              </w:rPr>
              <w:t>Відповідність практики</w:t>
            </w:r>
          </w:p>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sz w:val="24"/>
                <w:szCs w:val="24"/>
                <w:lang w:val="uk-ua" w:eastAsia="uk-ua"/>
              </w:rPr>
            </w:pPr>
            <w:r>
              <w:rPr>
                <w:rFonts w:ascii="Times New Roman" w:hAnsi="Times New Roman" w:eastAsia="Times New Roman"/>
                <w:b/>
                <w:bCs/>
                <w:color w:val="000000"/>
                <w:spacing w:val="-2"/>
                <w:lang w:val="uk-ua" w:eastAsia="uk-ua"/>
              </w:rPr>
              <w:t>(Так/Ні)</w:t>
            </w:r>
            <w:r>
              <w:rPr>
                <w:rFonts w:ascii="Times New Roman" w:hAnsi="Times New Roman" w:eastAsia="Times New Roman"/>
                <w:color w:val="000000"/>
                <w:sz w:val="24"/>
                <w:szCs w:val="24"/>
                <w:lang w:val="uk-ua" w:eastAsia="uk-ua"/>
              </w:rPr>
            </w:r>
          </w:p>
        </w:tc>
        <w:tc>
          <w:tcPr>
            <w:tcW w:w="3825"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sz w:val="24"/>
                <w:szCs w:val="24"/>
                <w:lang w:val="uk-ua" w:eastAsia="uk-ua"/>
              </w:rPr>
            </w:pPr>
            <w:r>
              <w:rPr>
                <w:rFonts w:ascii="Times New Roman" w:hAnsi="Times New Roman" w:eastAsia="Times New Roman"/>
                <w:b/>
                <w:bCs/>
                <w:color w:val="000000"/>
                <w:spacing w:val="-2"/>
                <w:lang w:val="uk-ua" w:eastAsia="uk-ua"/>
              </w:rPr>
              <w:t xml:space="preserve">Опис наявної практики/ </w:t>
              <w:br w:type="textWrapping"/>
              <w:t>обґрунтування відхилення</w:t>
            </w:r>
            <w:r>
              <w:rPr>
                <w:rFonts w:ascii="Times New Roman" w:hAnsi="Times New Roman" w:eastAsia="Times New Roman"/>
                <w:color w:val="000000"/>
                <w:sz w:val="24"/>
                <w:szCs w:val="24"/>
                <w:lang w:val="uk-ua" w:eastAsia="uk-ua"/>
              </w:rPr>
            </w:r>
          </w:p>
        </w:tc>
      </w:tr>
      <w:tr>
        <w:trPr>
          <w:cantSplit w:val="0"/>
          <w:trHeight w:val="60" w:hRule="atLeast"/>
        </w:trPr>
        <w:tc>
          <w:tcPr>
            <w:tcW w:w="4502"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xml:space="preserve">В особі створена система внутрішнього контролю, яка відповідає моделі концепції «трьох ліній захисту» </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Система внутр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шнього контролю, яка передбачає модель трьох 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захисту,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дсутня.</w:t>
            </w:r>
            <w:r>
              <w:rPr>
                <w:rFonts w:ascii="Times New Roman" w:hAnsi="Times New Roman" w:eastAsia="Times New Roman"/>
                <w:sz w:val="20"/>
                <w:szCs w:val="20"/>
                <w:lang w:eastAsia="uk-ua"/>
              </w:rPr>
            </w:r>
          </w:p>
        </w:tc>
      </w:tr>
      <w:tr>
        <w:trPr>
          <w:cantSplit w:val="0"/>
          <w:trHeight w:val="60" w:hRule="atLeast"/>
        </w:trPr>
        <w:tc>
          <w:tcPr>
            <w:tcW w:w="4502"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xml:space="preserve">Рада (невиконавчі директори ради директорів) </w:t>
              <w:br w:type="textWrapping"/>
              <w:t xml:space="preserve">має механізми внутрішнього контролю особи, </w:t>
              <w:br w:type="textWrapping"/>
              <w:t>маючи змогу залучити внутрішнього аудитора та зовнішнього аудитора</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Рада директорів відсутня</w:t>
            </w:r>
          </w:p>
        </w:tc>
      </w:tr>
      <w:tr>
        <w:trPr>
          <w:cantSplit w:val="0"/>
          <w:trHeight w:val="60" w:hRule="atLeast"/>
        </w:trPr>
        <w:tc>
          <w:tcPr>
            <w:tcW w:w="4502"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Функція комплаєнс та ризик-менеджменту підзвітна раді (невиконавчим директорам ради директорів)</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Функція комплаєнс та ризик-менеджменту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дсутня. </w:t>
            </w:r>
          </w:p>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w:t>
            </w:r>
          </w:p>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w:t>
            </w:r>
          </w:p>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r>
          </w:p>
        </w:tc>
      </w:tr>
      <w:tr>
        <w:trPr>
          <w:cantSplit w:val="0"/>
          <w:trHeight w:val="60" w:hRule="atLeast"/>
        </w:trPr>
        <w:tc>
          <w:tcPr>
            <w:tcW w:w="4502"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xml:space="preserve">В особі затверджено політику з питань </w:t>
              <w:br w:type="textWrapping"/>
              <w:t>управління ризиками</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Політика з управляння ризиками не затверджувалася</w:t>
            </w:r>
          </w:p>
        </w:tc>
      </w:tr>
      <w:tr>
        <w:trPr>
          <w:cantSplit w:val="0"/>
          <w:trHeight w:val="60" w:hRule="atLeast"/>
        </w:trPr>
        <w:tc>
          <w:tcPr>
            <w:tcW w:w="4502"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В особі затверджено декларацію схильності до ризиків</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Декларац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схильност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до ризик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не затверджувалася</w:t>
            </w:r>
            <w:r>
              <w:rPr>
                <w:rFonts w:ascii="Times New Roman" w:hAnsi="Times New Roman" w:eastAsia="Times New Roman"/>
                <w:sz w:val="20"/>
                <w:szCs w:val="20"/>
                <w:lang w:eastAsia="uk-ua"/>
              </w:rPr>
            </w:r>
          </w:p>
        </w:tc>
      </w:tr>
      <w:tr>
        <w:trPr>
          <w:cantSplit w:val="0"/>
          <w:trHeight w:val="60" w:hRule="atLeast"/>
        </w:trPr>
        <w:tc>
          <w:tcPr>
            <w:tcW w:w="4502"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Рада (невиконавчі директори ради директорів) розглядає звіт щодо управління ризиками</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Зв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 щодо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ння ризиками не складався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не затверджувався наглядовою радою.</w:t>
            </w:r>
            <w:r>
              <w:rPr>
                <w:rFonts w:ascii="Times New Roman" w:hAnsi="Times New Roman" w:eastAsia="Times New Roman"/>
                <w:sz w:val="20"/>
                <w:szCs w:val="20"/>
                <w:lang w:eastAsia="uk-ua"/>
              </w:rPr>
            </w:r>
          </w:p>
        </w:tc>
      </w:tr>
      <w:tr>
        <w:trPr>
          <w:cantSplit w:val="0"/>
          <w:trHeight w:val="60" w:hRule="atLeast"/>
        </w:trPr>
        <w:tc>
          <w:tcPr>
            <w:tcW w:w="4502"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В особі затверджено та оприлюднено кодекс етики</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Кодекс етики не затверджувався.</w:t>
            </w:r>
          </w:p>
        </w:tc>
      </w:tr>
      <w:tr>
        <w:trPr>
          <w:cantSplit w:val="0"/>
          <w:trHeight w:val="60" w:hRule="atLeast"/>
        </w:trPr>
        <w:tc>
          <w:tcPr>
            <w:tcW w:w="4502"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В особі забезпечено можливість анонімно і безпечно повідомляти про неправомірну чи неетичну поведінку</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Кодекс етики вiдсутнiй.</w:t>
            </w:r>
          </w:p>
        </w:tc>
      </w:tr>
      <w:tr>
        <w:trPr>
          <w:cantSplit w:val="0"/>
          <w:trHeight w:val="60" w:hRule="atLeast"/>
        </w:trPr>
        <w:tc>
          <w:tcPr>
            <w:tcW w:w="4502"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xml:space="preserve">В особі затверджено та оприлюднено політику </w:t>
              <w:br w:type="textWrapping"/>
              <w:t>щодо запобігання корупції</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Пол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тика щодо запоб</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гання корупц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не затверджувалася.</w:t>
            </w:r>
            <w:r>
              <w:rPr>
                <w:rFonts w:ascii="Times New Roman" w:hAnsi="Times New Roman" w:eastAsia="Times New Roman"/>
                <w:sz w:val="20"/>
                <w:szCs w:val="20"/>
                <w:lang w:eastAsia="uk-ua"/>
              </w:rPr>
            </w:r>
          </w:p>
        </w:tc>
      </w:tr>
      <w:tr>
        <w:trPr>
          <w:cantSplit w:val="0"/>
          <w:trHeight w:val="60" w:hRule="atLeast"/>
        </w:trPr>
        <w:tc>
          <w:tcPr>
            <w:tcW w:w="4502"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xml:space="preserve">В особі затверджено та оприлюднено політику </w:t>
              <w:br w:type="textWrapping"/>
              <w:t>щодо конфлікту інтересів, яка покриває такі питання:</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a) конфлікту інтересів, запобігання і управління конфліктом інтересів;</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б) правочинів із заінтересованістю;</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в) інсайдерської торгівлі; та</w:t>
            </w:r>
          </w:p>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г) зловживання службовим становищем</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Пол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тика щодо конфл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кту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нтерес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не затверджувалася.</w:t>
            </w:r>
            <w:r>
              <w:rPr>
                <w:rFonts w:ascii="Times New Roman" w:hAnsi="Times New Roman" w:eastAsia="Times New Roman"/>
                <w:sz w:val="20"/>
                <w:szCs w:val="20"/>
                <w:lang w:eastAsia="uk-ua"/>
              </w:rPr>
            </w:r>
          </w:p>
        </w:tc>
      </w:tr>
    </w:tbl>
    <w:p>
      <w:pPr>
        <w:rPr>
          <w:rFonts w:eastAsia="Times New Roman"/>
          <w:lang w:val="uk-ua" w:eastAsia="uk-ua"/>
        </w:rPr>
      </w:pPr>
      <w:r>
        <w:rPr>
          <w:rFonts w:eastAsia="Times New Roman"/>
          <w:lang w:val="uk-ua" w:eastAsia="uk-ua"/>
        </w:rPr>
      </w:r>
    </w:p>
    <w:tbl>
      <w:tblPr>
        <w:tblStyle w:val="NormalTable"/>
        <w:name w:val="Таблица34"/>
        <w:tabOrder w:val="0"/>
        <w:jc w:val="left"/>
        <w:tblInd w:w="0" w:type="dxa"/>
        <w:tblW w:w="9912" w:type="dxa"/>
        <w:tblLook w:val="0000" w:firstRow="0" w:lastRow="0" w:firstColumn="0" w:lastColumn="0" w:noHBand="0" w:noVBand="0"/>
      </w:tblPr>
      <w:tblGrid>
        <w:gridCol w:w="4501"/>
        <w:gridCol w:w="1585"/>
        <w:gridCol w:w="3826"/>
      </w:tblGrid>
      <w:tr>
        <w:trPr>
          <w:cantSplit w:val="0"/>
          <w:trHeight w:val="60" w:hRule="atLeast"/>
        </w:trPr>
        <w:tc>
          <w:tcPr>
            <w:tcW w:w="4501"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color w:val="000000"/>
                <w:lang w:val="uk-ua" w:eastAsia="uk-ua"/>
              </w:rPr>
              <w:t>9. Оцінка корпоративного управління</w:t>
            </w:r>
            <w:r>
              <w:rPr>
                <w:rFonts w:ascii="Times New Roman" w:hAnsi="Times New Roman" w:eastAsia="Times New Roman"/>
                <w:color w:val="000000"/>
                <w:lang w:val="uk-ua" w:eastAsia="uk-ua"/>
              </w:rPr>
            </w:r>
          </w:p>
        </w:tc>
        <w:tc>
          <w:tcPr>
            <w:tcW w:w="1585"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bCs/>
                <w:color w:val="000000"/>
                <w:lang w:val="uk-ua" w:eastAsia="uk-ua"/>
              </w:rPr>
            </w:pPr>
            <w:r>
              <w:rPr>
                <w:rFonts w:ascii="Times New Roman" w:hAnsi="Times New Roman" w:eastAsia="Times New Roman"/>
                <w:b/>
                <w:bCs/>
                <w:color w:val="000000"/>
                <w:lang w:val="uk-ua" w:eastAsia="uk-ua"/>
              </w:rPr>
              <w:t>Відповідність практики</w:t>
            </w:r>
          </w:p>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bCs/>
                <w:color w:val="000000"/>
                <w:spacing w:val="-2"/>
                <w:lang w:val="uk-ua" w:eastAsia="uk-ua"/>
              </w:rPr>
              <w:t>(Так/Ні)</w:t>
            </w:r>
            <w:r>
              <w:rPr>
                <w:rFonts w:ascii="Times New Roman" w:hAnsi="Times New Roman" w:eastAsia="Times New Roman"/>
                <w:color w:val="000000"/>
                <w:lang w:val="uk-ua" w:eastAsia="uk-ua"/>
              </w:rPr>
            </w:r>
          </w:p>
        </w:tc>
        <w:tc>
          <w:tcPr>
            <w:tcW w:w="382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jc w:val="center"/>
              <w:suppressAutoHyphens/>
              <w:hyphenationLines w:val="0"/>
              <w:widowControl w:val="0"/>
              <w:tabs defTabSz="708">
                <w:tab w:val="right" w:pos="7767" w:leader="none"/>
              </w:tabs>
              <w:rPr>
                <w:rFonts w:ascii="Times New Roman" w:hAnsi="Times New Roman" w:eastAsia="Times New Roman"/>
                <w:color w:val="000000"/>
                <w:lang w:val="uk-ua" w:eastAsia="uk-ua"/>
              </w:rPr>
            </w:pPr>
            <w:r>
              <w:rPr>
                <w:rFonts w:ascii="Times New Roman" w:hAnsi="Times New Roman" w:eastAsia="Times New Roman"/>
                <w:b/>
                <w:bCs/>
                <w:color w:val="000000"/>
                <w:spacing w:val="-2"/>
                <w:lang w:val="uk-ua" w:eastAsia="uk-ua"/>
              </w:rPr>
              <w:t xml:space="preserve">Опис наявної практики/ </w:t>
              <w:br w:type="textWrapping"/>
              <w:t>обґрунтування відхилення</w:t>
            </w:r>
            <w:r>
              <w:rPr>
                <w:rFonts w:ascii="Times New Roman" w:hAnsi="Times New Roman" w:eastAsia="Times New Roman"/>
                <w:color w:val="000000"/>
                <w:lang w:val="uk-ua" w:eastAsia="uk-ua"/>
              </w:rPr>
            </w:r>
          </w:p>
        </w:tc>
      </w:tr>
      <w:tr>
        <w:trPr>
          <w:cantSplit w:val="0"/>
          <w:trHeight w:val="60" w:hRule="atLeast"/>
        </w:trPr>
        <w:tc>
          <w:tcPr>
            <w:tcW w:w="4501"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xml:space="preserve">В особі формалізована процедура </w:t>
              <w:br w:type="textWrapping"/>
              <w:t xml:space="preserve">щорічної самооцінки членів ради </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6"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Процедура щорiчної самооцiнки членiв наглядової ради вiдсутня.</w:t>
            </w:r>
          </w:p>
        </w:tc>
      </w:tr>
      <w:tr>
        <w:trPr>
          <w:cantSplit w:val="0"/>
          <w:trHeight w:val="60" w:hRule="atLeast"/>
        </w:trPr>
        <w:tc>
          <w:tcPr>
            <w:tcW w:w="4501"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6"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Процедура щорiчної самооцiнки членiв наглядової ради вiдсутня.</w:t>
            </w:r>
          </w:p>
        </w:tc>
      </w:tr>
      <w:tr>
        <w:trPr>
          <w:cantSplit w:val="0"/>
          <w:trHeight w:val="60" w:hRule="atLeast"/>
        </w:trPr>
        <w:tc>
          <w:tcPr>
            <w:tcW w:w="4501" w:type="dxa"/>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Кожні три роки проводиться комплексна оцінка системи корпоративного управління із залученням незалежного зовнішнього експерта</w:t>
            </w:r>
          </w:p>
        </w:tc>
        <w:tc>
          <w:tcPr>
            <w:tcW w:w="1585"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c>
          <w:tcPr>
            <w:tcW w:w="3826" w:type="dxa"/>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rPr>
                <w:rFonts w:ascii="Times New Roman" w:hAnsi="Times New Roman" w:eastAsia="Times New Roman"/>
                <w:sz w:val="20"/>
                <w:szCs w:val="20"/>
                <w:lang w:eastAsia="uk-ua"/>
              </w:rPr>
            </w:pPr>
            <w:r>
              <w:rPr>
                <w:rFonts w:ascii="Times New Roman" w:hAnsi="Times New Roman" w:eastAsia="Times New Roman"/>
                <w:sz w:val="20"/>
                <w:szCs w:val="20"/>
                <w:lang w:eastAsia="uk-ua"/>
              </w:rPr>
              <w:t>Оц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нка системи корпоративного управл</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ння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з залученням незалежного зовн</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шнього експерта не проводиться.</w:t>
            </w:r>
            <w:r>
              <w:rPr>
                <w:rFonts w:ascii="Times New Roman" w:hAnsi="Times New Roman" w:eastAsia="Times New Roman"/>
                <w:sz w:val="20"/>
                <w:szCs w:val="20"/>
                <w:lang w:eastAsia="uk-ua"/>
              </w:rPr>
            </w:r>
          </w:p>
        </w:tc>
      </w:tr>
    </w:tbl>
    <w:p>
      <w:pPr>
        <w:rPr>
          <w:rFonts w:eastAsia="Times New Roman"/>
          <w:lang w:val="uk-ua" w:eastAsia="uk-ua"/>
        </w:rPr>
      </w:pPr>
      <w:r>
        <w:rPr>
          <w:rFonts w:eastAsia="Times New Roman"/>
          <w:lang w:val="uk-ua" w:eastAsia="uk-ua"/>
        </w:rPr>
      </w:r>
    </w:p>
    <w:p>
      <w:pPr>
        <w:spacing w:after="0" w:line="257" w:lineRule="auto"/>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 xml:space="preserve">Частина 2. Інформація про загальні збори акціонерів (учасників) та загальний опис </w:t>
        <w:br w:type="textWrapping"/>
        <w:t>прийнятих на таких зборах рішень</w:t>
      </w:r>
      <w:r>
        <w:rPr>
          <w:rFonts w:ascii="Times New Roman" w:hAnsi="Times New Roman" w:eastAsia="Times New Roman"/>
          <w:b/>
          <w:color w:val="000000"/>
          <w:sz w:val="24"/>
          <w:szCs w:val="24"/>
          <w:lang w:eastAsia="uk-ua"/>
        </w:rPr>
        <w:t xml:space="preserve"> :</w:t>
      </w:r>
      <w:r>
        <w:rPr>
          <w:rFonts w:ascii="Times New Roman" w:hAnsi="Times New Roman" w:eastAsia="Times New Roman"/>
          <w:b/>
          <w:color w:val="000000"/>
          <w:sz w:val="24"/>
          <w:szCs w:val="24"/>
          <w:lang w:val="uk-ua" w:eastAsia="uk-ua"/>
        </w:rPr>
        <w:t xml:space="preserve"> </w:t>
      </w:r>
      <w:r>
        <w:rPr>
          <w:rFonts w:ascii="Times New Roman" w:hAnsi="Times New Roman" w:eastAsia="Times New Roman"/>
          <w:b/>
          <w:color w:val="000000"/>
          <w:sz w:val="24"/>
          <w:szCs w:val="24"/>
          <w:u w:color="auto" w:val="single"/>
          <w:lang w:eastAsia="uk-ua"/>
        </w:rPr>
        <w:t>__1__</w:t>
      </w:r>
      <w:r>
        <w:rPr>
          <w:rFonts w:ascii="Times New Roman" w:hAnsi="Times New Roman" w:eastAsia="Times New Roman"/>
          <w:b/>
          <w:color w:val="000000"/>
          <w:sz w:val="24"/>
          <w:szCs w:val="24"/>
          <w:lang w:val="uk-ua" w:eastAsia="uk-ua"/>
        </w:rPr>
        <w:t xml:space="preserve"> (</w:t>
      </w:r>
      <w:r>
        <w:rPr>
          <w:rFonts w:ascii="Times New Roman" w:hAnsi="Times New Roman" w:eastAsia="Times New Roman"/>
          <w:b/>
          <w:color w:val="000000"/>
          <w:sz w:val="24"/>
          <w:szCs w:val="24"/>
          <w:lang w:eastAsia="uk-ua"/>
        </w:rPr>
        <w:t xml:space="preserve"> </w:t>
      </w:r>
      <w:r>
        <w:rPr>
          <w:rFonts w:ascii="Times New Roman" w:hAnsi="Times New Roman" w:eastAsia="Times New Roman"/>
          <w:b/>
          <w:color w:val="000000"/>
          <w:sz w:val="24"/>
          <w:szCs w:val="24"/>
          <w:u w:color="auto" w:val="single"/>
          <w:lang w:eastAsia="uk-ua"/>
        </w:rPr>
        <w:t>__1__</w:t>
      </w:r>
      <w:r>
        <w:rPr>
          <w:rFonts w:ascii="Times New Roman" w:hAnsi="Times New Roman" w:eastAsia="Times New Roman"/>
          <w:b/>
          <w:color w:val="000000"/>
          <w:sz w:val="24"/>
          <w:szCs w:val="24"/>
          <w:lang w:eastAsia="uk-ua"/>
        </w:rPr>
        <w:t xml:space="preserve"> </w:t>
      </w:r>
      <w:r>
        <w:rPr>
          <w:rFonts w:ascii="Times New Roman" w:hAnsi="Times New Roman" w:eastAsia="Times New Roman"/>
          <w:b/>
          <w:color w:val="000000"/>
          <w:sz w:val="24"/>
          <w:szCs w:val="24"/>
          <w:lang w:val="uk-ua" w:eastAsia="uk-ua"/>
        </w:rPr>
        <w:t>)</w:t>
      </w:r>
      <w:r>
        <w:rPr>
          <w:rFonts w:ascii="Times New Roman" w:hAnsi="Times New Roman" w:eastAsia="Times New Roman"/>
          <w:b/>
          <w:color w:val="000000"/>
          <w:sz w:val="24"/>
          <w:szCs w:val="24"/>
          <w:lang w:val="uk-ua" w:eastAsia="uk-ua"/>
        </w:rPr>
      </w:r>
    </w:p>
    <w:p>
      <w:pPr>
        <w:spacing w:after="0"/>
        <w:rPr>
          <w:rFonts w:ascii="Times New Roman" w:hAnsi="Times New Roman"/>
          <w:lang w:val="uk-ua"/>
        </w:rPr>
      </w:pPr>
      <w:r>
        <w:rPr>
          <w:rFonts w:ascii="Times New Roman" w:hAnsi="Times New Roman"/>
          <w:lang w:val="uk-ua"/>
        </w:rPr>
      </w:r>
    </w:p>
    <w:tbl>
      <w:tblPr>
        <w:tblStyle w:val="1"/>
        <w:name w:val="Таблица35"/>
        <w:tabOrder w:val="0"/>
        <w:jc w:val="left"/>
        <w:tblInd w:w="0" w:type="dxa"/>
        <w:tblW w:w="9922" w:type="dxa"/>
        <w:tblLook w:val="04A0" w:firstRow="1" w:lastRow="0" w:firstColumn="1" w:lastColumn="0" w:noHBand="0" w:noVBand="1"/>
      </w:tblPr>
      <w:tblGrid>
        <w:gridCol w:w="1984"/>
        <w:gridCol w:w="7938"/>
      </w:tblGrid>
      <w:tr>
        <w:trPr>
          <w:cantSplit w:val="0"/>
          <w:trHeight w:val="360" w:hRule="atLeast"/>
        </w:trPr>
        <w:tc>
          <w:tcPr>
            <w:tcW w:w="1000" w:type="pct"/>
            <w:vAlign w:val="center"/>
            <w:tmTcPr id="1759223788" protected="0"/>
          </w:tcPr>
          <w:p>
            <w:pPr>
              <w:spacing/>
              <w:jc w:val="center"/>
              <w:rPr>
                <w:rFonts w:ascii="Times New Roman" w:hAnsi="Times New Roman"/>
                <w:b/>
                <w:lang w:val="uk-ua"/>
              </w:rPr>
            </w:pPr>
            <w:r>
              <w:rPr>
                <w:rFonts w:ascii="Times New Roman" w:hAnsi="Times New Roman"/>
                <w:b/>
                <w:lang w:val="uk-ua"/>
              </w:rPr>
              <w:t>Дата проведення</w:t>
            </w:r>
          </w:p>
        </w:tc>
        <w:tc>
          <w:tcPr>
            <w:tcW w:w="4000" w:type="pct"/>
            <w:vAlign w:val="center"/>
            <w:tmTcPr id="1759223788" protected="0"/>
          </w:tcPr>
          <w:p>
            <w:pPr>
              <w:spacing/>
              <w:jc w:val="center"/>
              <w:rPr>
                <w:rFonts w:ascii="Times New Roman" w:hAnsi="Times New Roman"/>
                <w:lang w:val="uk-ua"/>
              </w:rPr>
            </w:pPr>
            <w:r>
              <w:rPr>
                <w:rFonts w:ascii="Times New Roman" w:hAnsi="Times New Roman"/>
                <w:lang w:val="uk-ua"/>
              </w:rPr>
              <w:t>28.04.2023</w:t>
            </w:r>
          </w:p>
        </w:tc>
      </w:tr>
      <w:tr>
        <w:trPr>
          <w:cantSplit w:val="0"/>
          <w:trHeight w:val="360" w:hRule="atLeast"/>
        </w:trPr>
        <w:tc>
          <w:tcPr>
            <w:tcW w:w="1000" w:type="pct"/>
            <w:vAlign w:val="center"/>
            <w:tmTcPr id="1759223788" protected="0"/>
          </w:tcPr>
          <w:p>
            <w:pPr>
              <w:spacing/>
              <w:jc w:val="center"/>
              <w:rPr>
                <w:rFonts w:ascii="Times New Roman" w:hAnsi="Times New Roman"/>
                <w:b/>
                <w:lang w:val="uk-ua"/>
              </w:rPr>
            </w:pPr>
            <w:r>
              <w:rPr>
                <w:rFonts w:ascii="Times New Roman" w:hAnsi="Times New Roman"/>
                <w:b/>
                <w:lang w:val="uk-ua"/>
              </w:rPr>
              <w:t>Спосіб проведення</w:t>
            </w:r>
          </w:p>
        </w:tc>
        <w:tc>
          <w:tcPr>
            <w:tcW w:w="4000" w:type="pct"/>
            <w:vAlign w:val="center"/>
            <w:tmTcPr id="1759223788" protected="0"/>
          </w:tcPr>
          <w:p>
            <w:pPr>
              <w:rPr>
                <w:rFonts w:ascii="Times New Roman" w:hAnsi="Times New Roman"/>
                <w:lang w:val="uk-ua"/>
              </w:rPr>
            </w:pPr>
            <w:r>
              <w:rPr>
                <w:rFonts w:ascii="Times New Roman" w:hAnsi="Times New Roman"/>
                <w:lang w:val="uk-ua"/>
              </w:rPr>
              <w:tab/>
              <w:t>очне голосування</w:t>
            </w:r>
          </w:p>
          <w:p>
            <w:pPr>
              <w:rPr>
                <w:rFonts w:ascii="Times New Roman" w:hAnsi="Times New Roman"/>
                <w:lang w:val="uk-ua"/>
              </w:rPr>
            </w:pPr>
            <w:r>
              <w:rPr>
                <w:rFonts w:ascii="Times New Roman" w:hAnsi="Times New Roman"/>
                <w:lang w:val="uk-ua"/>
              </w:rPr>
              <w:t>-------------------------------------------------------------------------------------------------------------------</w:t>
            </w:r>
          </w:p>
          <w:p>
            <w:pPr>
              <w:rPr>
                <w:rFonts w:ascii="Times New Roman" w:hAnsi="Times New Roman"/>
                <w:lang w:val="uk-ua"/>
              </w:rPr>
            </w:pPr>
            <w:r>
              <w:rPr>
                <w:rFonts w:ascii="Times New Roman" w:hAnsi="Times New Roman"/>
                <w:lang w:val="uk-ua"/>
              </w:rPr>
              <w:tab/>
              <w:t>електронне голосування</w:t>
            </w:r>
          </w:p>
          <w:p>
            <w:pPr>
              <w:rPr>
                <w:rFonts w:ascii="Times New Roman" w:hAnsi="Times New Roman"/>
                <w:lang w:val="uk-ua"/>
              </w:rPr>
            </w:pPr>
            <w:r>
              <w:rPr>
                <w:rFonts w:ascii="Times New Roman" w:hAnsi="Times New Roman"/>
                <w:lang w:val="uk-ua"/>
              </w:rPr>
              <w:t>-------------------------------------------------------------------------------------------------------------------</w:t>
            </w:r>
          </w:p>
          <w:p>
            <w:pPr>
              <w:rPr>
                <w:rFonts w:ascii="Times New Roman" w:hAnsi="Times New Roman"/>
                <w:lang w:val="uk-ua"/>
              </w:rPr>
            </w:pPr>
            <w:r>
              <w:rPr>
                <w:rFonts w:ascii="Times New Roman" w:hAnsi="Times New Roman"/>
                <w:lang w:val="uk-ua"/>
              </w:rPr>
              <w:t>X</w:t>
              <w:tab/>
              <w:t>опитування (дистанційно)</w:t>
            </w:r>
          </w:p>
        </w:tc>
      </w:tr>
      <w:tr>
        <w:trPr>
          <w:cantSplit w:val="0"/>
          <w:trHeight w:val="360" w:hRule="atLeast"/>
        </w:trPr>
        <w:tc>
          <w:tcPr>
            <w:tcW w:w="1000" w:type="pct"/>
            <w:vAlign w:val="center"/>
            <w:tmTcPr id="1759223788" protected="0"/>
          </w:tcPr>
          <w:p>
            <w:pPr>
              <w:spacing/>
              <w:jc w:val="center"/>
              <w:rPr>
                <w:rFonts w:ascii="Times New Roman" w:hAnsi="Times New Roman"/>
                <w:b/>
                <w:lang w:val="uk-ua"/>
              </w:rPr>
            </w:pPr>
            <w:r>
              <w:rPr>
                <w:rFonts w:ascii="Times New Roman" w:hAnsi="Times New Roman"/>
                <w:b/>
                <w:lang w:val="uk-ua"/>
              </w:rPr>
              <w:t>Суб'єкт скликання</w:t>
            </w:r>
          </w:p>
        </w:tc>
        <w:tc>
          <w:tcPr>
            <w:tcW w:w="4000" w:type="pct"/>
            <w:vAlign w:val="center"/>
            <w:tmTcPr id="1759223788" protected="0"/>
          </w:tcPr>
          <w:p>
            <w:pPr>
              <w:spacing/>
              <w:jc w:val="center"/>
              <w:rPr>
                <w:rFonts w:ascii="Times New Roman" w:hAnsi="Times New Roman"/>
                <w:lang w:val="uk-ua"/>
              </w:rPr>
            </w:pPr>
            <w:r>
              <w:rPr>
                <w:rFonts w:ascii="Times New Roman" w:hAnsi="Times New Roman"/>
                <w:lang w:val="uk-ua"/>
              </w:rPr>
              <w:t>Наглядова рада</w:t>
            </w:r>
          </w:p>
        </w:tc>
      </w:tr>
      <w:tr>
        <w:trPr>
          <w:cantSplit w:val="0"/>
          <w:trHeight w:val="360" w:hRule="atLeast"/>
        </w:trPr>
        <w:tc>
          <w:tcPr>
            <w:tcW w:w="5000" w:type="pct"/>
            <w:gridSpan w:val="2"/>
            <w:vAlign w:val="center"/>
            <w:tmTcPr id="1759223788" protected="0"/>
          </w:tcPr>
          <w:p>
            <w:pPr>
              <w:rPr>
                <w:rFonts w:ascii="Times New Roman" w:hAnsi="Times New Roman"/>
                <w:lang w:val="uk-ua"/>
              </w:rPr>
            </w:pPr>
            <w:r>
              <w:rPr>
                <w:rFonts w:ascii="Times New Roman" w:hAnsi="Times New Roman"/>
                <w:b/>
                <w:lang w:val="uk-ua"/>
              </w:rPr>
              <w:t>Питання порядку денного та прийняті рішення :</w:t>
            </w:r>
            <w:r>
              <w:rPr>
                <w:rFonts w:ascii="Times New Roman" w:hAnsi="Times New Roman"/>
                <w:lang w:val="uk-ua"/>
              </w:rPr>
            </w:r>
          </w:p>
        </w:tc>
      </w:tr>
      <w:tr>
        <w:trPr>
          <w:cantSplit w:val="0"/>
          <w:trHeight w:val="360" w:hRule="atLeast"/>
        </w:trPr>
        <w:tc>
          <w:tcPr>
            <w:tcW w:w="5000" w:type="pct"/>
            <w:gridSpan w:val="2"/>
            <w:tmTcPr id="1759223788" protected="0"/>
          </w:tcPr>
          <w:p>
            <w:pPr>
              <w:rPr>
                <w:rFonts w:ascii="Times New Roman" w:hAnsi="Times New Roman"/>
                <w:lang w:val="uk-ua"/>
              </w:rPr>
            </w:pPr>
            <w:r>
              <w:rPr>
                <w:rFonts w:ascii="Times New Roman" w:hAnsi="Times New Roman"/>
                <w:lang w:val="uk-ua"/>
              </w:rPr>
              <w:t>ПРОТОКОЛ</w:t>
            </w:r>
          </w:p>
          <w:p>
            <w:pPr>
              <w:rPr>
                <w:rFonts w:ascii="Times New Roman" w:hAnsi="Times New Roman"/>
                <w:lang w:val="uk-ua"/>
              </w:rPr>
            </w:pPr>
            <w:r>
              <w:rPr>
                <w:rFonts w:ascii="Times New Roman" w:hAnsi="Times New Roman"/>
                <w:lang w:val="uk-ua"/>
              </w:rPr>
              <w:t>річних дистанційних загальних зборів акціонерів Приватного акціонерного товариства "Макіївський завод "Факел"</w:t>
            </w:r>
          </w:p>
          <w:p>
            <w:pPr>
              <w:rPr>
                <w:rFonts w:ascii="Times New Roman" w:hAnsi="Times New Roman"/>
                <w:lang w:val="uk-ua"/>
              </w:rPr>
            </w:pPr>
            <w:r>
              <w:rPr>
                <w:rFonts w:ascii="Times New Roman" w:hAnsi="Times New Roman"/>
                <w:lang w:val="uk-ua"/>
              </w:rPr>
              <w:t>(ідентифікаційний код 05781213, далі - Товариство)</w:t>
            </w:r>
          </w:p>
          <w:p>
            <w:pPr>
              <w:rPr>
                <w:rFonts w:ascii="Times New Roman" w:hAnsi="Times New Roman"/>
                <w:lang w:val="uk-ua"/>
              </w:rPr>
            </w:pPr>
            <w:r>
              <w:rPr>
                <w:rFonts w:ascii="Times New Roman" w:hAnsi="Times New Roman"/>
                <w:lang w:val="uk-ua"/>
              </w:rPr>
              <w:t>місто Київ</w:t>
              <w:tab/>
              <w:t>04.05.2023</w:t>
            </w:r>
          </w:p>
          <w:p>
            <w:pPr>
              <w:rPr>
                <w:rFonts w:ascii="Times New Roman" w:hAnsi="Times New Roman"/>
                <w:lang w:val="uk-ua"/>
              </w:rPr>
            </w:pPr>
            <w:r>
              <w:rPr>
                <w:rFonts w:ascii="Times New Roman" w:hAnsi="Times New Roman"/>
                <w:lang w:val="uk-ua"/>
              </w:rPr>
              <w:t>Річні загальні збори акціонерів Товариства (далі - загальні збори) проводились дистанційно відповідно до Порядку скликання та дистанційного проведення загальних зборів акціонерів, затвердженим рішенням Національної комісії з цінних паперів та фондового ринку від 06.03.2023 №236 (далі - Порядок).</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Дата проведення загальних зборів</w:t>
              <w:tab/>
              <w:t>28.04.2023</w:t>
            </w:r>
          </w:p>
          <w:p>
            <w:pPr>
              <w:rPr>
                <w:rFonts w:ascii="Times New Roman" w:hAnsi="Times New Roman"/>
                <w:lang w:val="uk-ua"/>
              </w:rPr>
            </w:pPr>
            <w:r>
              <w:rPr>
                <w:rFonts w:ascii="Times New Roman" w:hAnsi="Times New Roman"/>
                <w:lang w:val="uk-ua"/>
              </w:rPr>
              <w:t>Дата оприлюднення єдиного бюлетеня для голосування</w:t>
              <w:tab/>
            </w:r>
          </w:p>
          <w:p>
            <w:pPr>
              <w:rPr>
                <w:rFonts w:ascii="Times New Roman" w:hAnsi="Times New Roman"/>
                <w:lang w:val="uk-ua"/>
              </w:rPr>
            </w:pPr>
            <w:r>
              <w:rPr>
                <w:rFonts w:ascii="Times New Roman" w:hAnsi="Times New Roman"/>
                <w:lang w:val="uk-ua"/>
              </w:rPr>
              <w:t>(щодо інших питань порядку денного, крім обрання органів</w:t>
              <w:tab/>
              <w:t>18.04.2023</w:t>
            </w:r>
          </w:p>
          <w:p>
            <w:pPr>
              <w:rPr>
                <w:rFonts w:ascii="Times New Roman" w:hAnsi="Times New Roman"/>
                <w:lang w:val="uk-ua"/>
              </w:rPr>
            </w:pPr>
            <w:r>
              <w:rPr>
                <w:rFonts w:ascii="Times New Roman" w:hAnsi="Times New Roman"/>
                <w:lang w:val="uk-ua"/>
              </w:rPr>
              <w:t>товариства)</w:t>
              <w:tab/>
            </w:r>
          </w:p>
          <w:p>
            <w:pPr>
              <w:rPr>
                <w:rFonts w:ascii="Times New Roman" w:hAnsi="Times New Roman"/>
                <w:lang w:val="uk-ua"/>
              </w:rPr>
            </w:pPr>
            <w:r>
              <w:rPr>
                <w:rFonts w:ascii="Times New Roman" w:hAnsi="Times New Roman"/>
                <w:lang w:val="uk-ua"/>
              </w:rPr>
              <w:t>Дата розміщення єдиного бюлетеня для голосування з питань</w:t>
              <w:tab/>
            </w:r>
          </w:p>
          <w:p>
            <w:pPr>
              <w:rPr>
                <w:rFonts w:ascii="Times New Roman" w:hAnsi="Times New Roman"/>
                <w:lang w:val="uk-ua"/>
              </w:rPr>
            </w:pPr>
            <w:r>
              <w:rPr>
                <w:rFonts w:ascii="Times New Roman" w:hAnsi="Times New Roman"/>
                <w:lang w:val="uk-ua"/>
              </w:rPr>
              <w:t>обрання органів Товариства (крім кумулятивного</w:t>
              <w:tab/>
              <w:t>18.04.2023</w:t>
            </w:r>
          </w:p>
          <w:p>
            <w:pPr>
              <w:rPr>
                <w:rFonts w:ascii="Times New Roman" w:hAnsi="Times New Roman"/>
                <w:lang w:val="uk-ua"/>
              </w:rPr>
            </w:pPr>
            <w:r>
              <w:rPr>
                <w:rFonts w:ascii="Times New Roman" w:hAnsi="Times New Roman"/>
                <w:lang w:val="uk-ua"/>
              </w:rPr>
              <w:t>голосування)</w:t>
              <w:tab/>
            </w:r>
          </w:p>
          <w:p>
            <w:pPr>
              <w:rPr>
                <w:rFonts w:ascii="Times New Roman" w:hAnsi="Times New Roman"/>
                <w:lang w:val="uk-ua"/>
              </w:rPr>
            </w:pPr>
            <w:r>
              <w:rPr>
                <w:rFonts w:ascii="Times New Roman" w:hAnsi="Times New Roman"/>
                <w:lang w:val="uk-ua"/>
              </w:rPr>
              <w:t>Дата закінчення голосування акціонерів</w:t>
              <w:tab/>
              <w:t>28.04.2023 (о 18:00 годині)</w:t>
            </w:r>
          </w:p>
          <w:p>
            <w:pPr>
              <w:rPr>
                <w:rFonts w:ascii="Times New Roman" w:hAnsi="Times New Roman"/>
                <w:lang w:val="uk-ua"/>
              </w:rPr>
            </w:pPr>
            <w:r>
              <w:rPr>
                <w:rFonts w:ascii="Times New Roman" w:hAnsi="Times New Roman"/>
                <w:lang w:val="uk-ua"/>
              </w:rPr>
              <w:t>Загальна кількість акціонерів, включених до переліку акціонерів, які мають право на участь у загальних зборах, складеного станом на 23 годину 25.04.2023, становить 94 (дев'яносто чотири) особи, яким належить 15 826 400 (п'ятнадцять мільйонів вісімсот двадцять шість тисяч чотириста) штук простих іменних акцій, в тому числі 15 298 070 (п'ятнадцять мільйонів двісті дев'яносто вісім тисяч сімдесят) штук голосуючих простих іменних акцій, які враховуються при визначенні кворуму та надають право голосу для вирішення питань, які відносяться до компетенції Загальних зборів акціонерів Товариства.</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Загальні збори мають кворум з усіх питань порядку денного за умови реєстрації для участі у загальних зборах акціонерів, які сукупно є власниками більш як 50% голосуючих простих іменних акцій Товариства.</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Для участі в загальних зборах зареєструвалися 4 (чотири) особи, яким належить 11 403 529 (одинадцять мільйонів чотириста три тисячі п'ятсот двадцять дев'ять) штук голосуючих простих іменних акцій Товариства, що становить 74,54227% від загальної кількості голосуючих простих іменних акцій. Кворум загальних зборів становить 74,54227%.</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Згідно з пунктом 7 Порядку річні дистанційні загальні збори акціонерів Товариства мають кворум з усіх питань порядку денного.</w:t>
            </w:r>
          </w:p>
          <w:p>
            <w:pPr>
              <w:rPr>
                <w:rFonts w:ascii="Times New Roman" w:hAnsi="Times New Roman"/>
                <w:lang w:val="uk-ua"/>
              </w:rPr>
            </w:pPr>
            <w:r>
              <w:rPr>
                <w:rFonts w:ascii="Times New Roman" w:hAnsi="Times New Roman"/>
                <w:lang w:val="uk-ua"/>
              </w:rPr>
              <w:t>Згідно з рішенням Наглядової ради від 23.03.2023:</w:t>
            </w:r>
          </w:p>
          <w:p>
            <w:pPr>
              <w:rPr>
                <w:rFonts w:ascii="Times New Roman" w:hAnsi="Times New Roman"/>
                <w:lang w:val="uk-ua"/>
              </w:rPr>
            </w:pPr>
            <w:r>
              <w:rPr>
                <w:rFonts w:ascii="Times New Roman" w:hAnsi="Times New Roman"/>
                <w:lang w:val="uk-ua"/>
              </w:rPr>
              <w:t>1)</w:t>
              <w:tab/>
              <w:t>Головою загальних зборів обраний Горда Максим Сергійович, секретарем загальних зборів - Демидова Юлія Олександрівна.</w:t>
            </w:r>
          </w:p>
          <w:p>
            <w:pPr>
              <w:rPr>
                <w:rFonts w:ascii="Times New Roman" w:hAnsi="Times New Roman"/>
                <w:lang w:val="uk-ua"/>
              </w:rPr>
            </w:pPr>
            <w:r>
              <w:rPr>
                <w:rFonts w:ascii="Times New Roman" w:hAnsi="Times New Roman"/>
                <w:lang w:val="uk-ua"/>
              </w:rPr>
              <w:t>2)</w:t>
              <w:tab/>
              <w:t>Підрахунок голосів здійснює лічильна комісія у складі голови комісії Мігулько Ольги Олександрівни, члена комісії Дарменко Олени Анатоліївни.</w:t>
            </w:r>
          </w:p>
          <w:p>
            <w:pPr>
              <w:rPr>
                <w:rFonts w:ascii="Times New Roman" w:hAnsi="Times New Roman"/>
                <w:lang w:val="uk-ua"/>
              </w:rPr>
            </w:pPr>
            <w:r>
              <w:rPr>
                <w:rFonts w:ascii="Times New Roman" w:hAnsi="Times New Roman"/>
                <w:lang w:val="uk-ua"/>
              </w:rPr>
              <w:t>3)</w:t>
              <w:tab/>
              <w:t>Особами, уповноваженими взаємодіяти з Центральним депозитарієм при проведенні річних загальних зборів, призначені Петрик Євген Олексійович, Мігулько Ольга Олександрівна.</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ПОРЯДОК ДЕННИЙ ЗАГАЛЬНИХ ЗБОРІВ:</w:t>
            </w:r>
          </w:p>
          <w:p>
            <w:pPr>
              <w:rPr>
                <w:rFonts w:ascii="Times New Roman" w:hAnsi="Times New Roman"/>
                <w:lang w:val="uk-ua"/>
              </w:rPr>
            </w:pPr>
            <w:r>
              <w:rPr>
                <w:rFonts w:ascii="Times New Roman" w:hAnsi="Times New Roman"/>
                <w:lang w:val="uk-ua"/>
              </w:rPr>
              <w:t xml:space="preserve"> </w:t>
            </w:r>
          </w:p>
          <w:p>
            <w:pPr>
              <w:rPr>
                <w:rFonts w:ascii="Times New Roman" w:hAnsi="Times New Roman"/>
                <w:lang w:val="uk-ua"/>
              </w:rPr>
            </w:pPr>
            <w:r>
              <w:rPr>
                <w:rFonts w:ascii="Times New Roman" w:hAnsi="Times New Roman"/>
                <w:lang w:val="uk-ua"/>
              </w:rPr>
              <w:t>1.</w:t>
              <w:tab/>
              <w:t>Звіт Правління Товариства за 2021 та 2022 роки та прийняття рішення за результатами його розгляду.</w:t>
            </w:r>
          </w:p>
          <w:p>
            <w:pPr>
              <w:rPr>
                <w:rFonts w:ascii="Times New Roman" w:hAnsi="Times New Roman"/>
                <w:lang w:val="uk-ua"/>
              </w:rPr>
            </w:pPr>
            <w:r>
              <w:rPr>
                <w:rFonts w:ascii="Times New Roman" w:hAnsi="Times New Roman"/>
                <w:lang w:val="uk-ua"/>
              </w:rPr>
              <w:t>2.</w:t>
              <w:tab/>
              <w:t>Звіт Наглядової ради Товариства за 2021 та 2022 роки та прийняття рішення за результатами його розгляду.</w:t>
            </w:r>
          </w:p>
          <w:p>
            <w:pPr>
              <w:rPr>
                <w:rFonts w:ascii="Times New Roman" w:hAnsi="Times New Roman"/>
                <w:lang w:val="uk-ua"/>
              </w:rPr>
            </w:pPr>
            <w:r>
              <w:rPr>
                <w:rFonts w:ascii="Times New Roman" w:hAnsi="Times New Roman"/>
                <w:lang w:val="uk-ua"/>
              </w:rPr>
              <w:t>3.</w:t>
              <w:tab/>
              <w:t>Розгляд звіту Ревізора Товариства за 2021 та 2022 роки та прийняття рішення за наслідками його розгляду. Затвердження висновку Ревізора Товариства за підсумками перевірки фінансово-господарської діяльності Товариства за результатами 2021 та 2022 років.</w:t>
            </w:r>
          </w:p>
          <w:p>
            <w:pPr>
              <w:rPr>
                <w:rFonts w:ascii="Times New Roman" w:hAnsi="Times New Roman"/>
                <w:lang w:val="uk-ua"/>
              </w:rPr>
            </w:pPr>
            <w:r>
              <w:rPr>
                <w:rFonts w:ascii="Times New Roman" w:hAnsi="Times New Roman"/>
                <w:lang w:val="uk-ua"/>
              </w:rPr>
              <w:t>4.</w:t>
              <w:tab/>
              <w:t>Затвердження результатів фінансово-господарської діяльності Товариства за 2021 та 2022 роки.</w:t>
            </w:r>
          </w:p>
          <w:p>
            <w:pPr>
              <w:rPr>
                <w:rFonts w:ascii="Times New Roman" w:hAnsi="Times New Roman"/>
                <w:lang w:val="uk-ua"/>
              </w:rPr>
            </w:pPr>
            <w:r>
              <w:rPr>
                <w:rFonts w:ascii="Times New Roman" w:hAnsi="Times New Roman"/>
                <w:lang w:val="uk-ua"/>
              </w:rPr>
              <w:t>5.</w:t>
              <w:tab/>
              <w:t>Затвердження розподілу прибутку за 2021 та 2022 роки.</w:t>
            </w:r>
          </w:p>
          <w:p>
            <w:pPr>
              <w:rPr>
                <w:rFonts w:ascii="Times New Roman" w:hAnsi="Times New Roman"/>
                <w:lang w:val="uk-ua"/>
              </w:rPr>
            </w:pPr>
            <w:r>
              <w:rPr>
                <w:rFonts w:ascii="Times New Roman" w:hAnsi="Times New Roman"/>
                <w:lang w:val="uk-ua"/>
              </w:rPr>
              <w:t>6.</w:t>
              <w:tab/>
              <w:t>Внесення змін та доповнень до Статуту Товариства шляхом викладення його в новій редакції.</w:t>
            </w:r>
          </w:p>
          <w:p>
            <w:pPr>
              <w:rPr>
                <w:rFonts w:ascii="Times New Roman" w:hAnsi="Times New Roman"/>
                <w:lang w:val="uk-ua"/>
              </w:rPr>
            </w:pPr>
            <w:r>
              <w:rPr>
                <w:rFonts w:ascii="Times New Roman" w:hAnsi="Times New Roman"/>
                <w:lang w:val="uk-ua"/>
              </w:rPr>
              <w:t>7.</w:t>
              <w:tab/>
              <w:t>Визнання такими, що втратили чинність, внесення змін та доповнень шляхом викладення в новій редакції внутрішніх положень Товариства.</w:t>
            </w:r>
          </w:p>
          <w:p>
            <w:pPr>
              <w:rPr>
                <w:rFonts w:ascii="Times New Roman" w:hAnsi="Times New Roman"/>
                <w:lang w:val="uk-ua"/>
              </w:rPr>
            </w:pPr>
            <w:r>
              <w:rPr>
                <w:rFonts w:ascii="Times New Roman" w:hAnsi="Times New Roman"/>
                <w:lang w:val="uk-ua"/>
              </w:rPr>
              <w:t>8.</w:t>
              <w:tab/>
              <w:t>Припинення повноважень членів Наглядової ради.</w:t>
            </w:r>
          </w:p>
          <w:p>
            <w:pPr>
              <w:rPr>
                <w:rFonts w:ascii="Times New Roman" w:hAnsi="Times New Roman"/>
                <w:lang w:val="uk-ua"/>
              </w:rPr>
            </w:pPr>
            <w:r>
              <w:rPr>
                <w:rFonts w:ascii="Times New Roman" w:hAnsi="Times New Roman"/>
                <w:lang w:val="uk-ua"/>
              </w:rPr>
              <w:t>9.</w:t>
              <w:tab/>
              <w:t>Обрання членів Наглядової ради.</w:t>
            </w:r>
          </w:p>
          <w:p>
            <w:pPr>
              <w:rPr>
                <w:rFonts w:ascii="Times New Roman" w:hAnsi="Times New Roman"/>
                <w:lang w:val="uk-ua"/>
              </w:rPr>
            </w:pPr>
            <w:r>
              <w:rPr>
                <w:rFonts w:ascii="Times New Roman" w:hAnsi="Times New Roman"/>
                <w:lang w:val="uk-ua"/>
              </w:rPr>
              <w:t>10.</w:t>
              <w:tab/>
              <w:t>Затвердження умов цивільно-правових договорів, що укладатимуться з членами Наглядової ради Товариства. Встановлення розміру винагороди членів Наглядової ради Товариства. Обрання особи, яка уповноважується на підписання договорів з членами Наглядової ради Товариства.</w:t>
            </w:r>
          </w:p>
          <w:p>
            <w:pPr>
              <w:rPr>
                <w:rFonts w:ascii="Times New Roman" w:hAnsi="Times New Roman"/>
                <w:lang w:val="uk-ua"/>
              </w:rPr>
            </w:pPr>
            <w:r>
              <w:rPr>
                <w:rFonts w:ascii="Times New Roman" w:hAnsi="Times New Roman"/>
                <w:lang w:val="uk-ua"/>
              </w:rPr>
              <w:t>11.</w:t>
              <w:tab/>
              <w:t>Припинення повноважень Ревізора.</w:t>
            </w:r>
          </w:p>
          <w:p>
            <w:pPr>
              <w:rPr>
                <w:rFonts w:ascii="Times New Roman" w:hAnsi="Times New Roman"/>
                <w:lang w:val="uk-ua"/>
              </w:rPr>
            </w:pPr>
            <w:r>
              <w:rPr>
                <w:rFonts w:ascii="Times New Roman" w:hAnsi="Times New Roman"/>
                <w:lang w:val="uk-ua"/>
              </w:rPr>
              <w:t>Голосування з питань 1-8, 10, 11 порядку денного проводилося з використанням єдиного бюлетеня для голосування (щодо інших питань порядку денного, крім обрання органів товариства).</w:t>
            </w:r>
          </w:p>
          <w:p>
            <w:pPr>
              <w:rPr>
                <w:rFonts w:ascii="Times New Roman" w:hAnsi="Times New Roman"/>
                <w:lang w:val="uk-ua"/>
              </w:rPr>
            </w:pPr>
            <w:r>
              <w:rPr>
                <w:rFonts w:ascii="Times New Roman" w:hAnsi="Times New Roman"/>
                <w:lang w:val="uk-ua"/>
              </w:rPr>
              <w:t>Голосування з питання 9 порядку денного проводилося з використанням єдиного бюлетеня для голосування з питань обрання органів Товариства (крім кумулятивного голосування).</w:t>
            </w:r>
          </w:p>
          <w:p>
            <w:pPr>
              <w:rPr>
                <w:rFonts w:ascii="Times New Roman" w:hAnsi="Times New Roman"/>
                <w:lang w:val="uk-ua"/>
              </w:rPr>
            </w:pPr>
            <w:r>
              <w:rPr>
                <w:rFonts w:ascii="Times New Roman" w:hAnsi="Times New Roman"/>
                <w:lang w:val="uk-ua"/>
              </w:rPr>
              <w:t>Голосування проводиться за принципом одна голосуюча проста іменна акція - один голос.</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Рішення з питань 1-5, 7-11 порядку денного приймається простою більшістю голосів від кількості голосів зареєстрованих для участі у загальних зборах власників голосуючих простих іменних акцій.</w:t>
            </w:r>
          </w:p>
          <w:p>
            <w:pPr>
              <w:rPr>
                <w:rFonts w:ascii="Times New Roman" w:hAnsi="Times New Roman"/>
                <w:lang w:val="uk-ua"/>
              </w:rPr>
            </w:pPr>
            <w:r>
              <w:rPr>
                <w:rFonts w:ascii="Times New Roman" w:hAnsi="Times New Roman"/>
                <w:lang w:val="uk-ua"/>
              </w:rPr>
              <w:t>Рішення з питання 6 порядку денного приймається більш як трьома чвертями голосів від кількості голосів зареєстрованих для участі у загальних зборах власників голосуючих простих іменних акцій.</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1.</w:t>
              <w:tab/>
              <w:t>З ПИТАННЯ 1-ГО ПОРЯДКУ ДЕННОГО: Звіт Правління Товариства за 2021 та 2022 роки та прийняття рішення за результатами його розгляду.</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Проект рішення:</w:t>
            </w:r>
          </w:p>
          <w:p>
            <w:pPr>
              <w:rPr>
                <w:rFonts w:ascii="Times New Roman" w:hAnsi="Times New Roman"/>
                <w:lang w:val="uk-ua"/>
              </w:rPr>
            </w:pPr>
            <w:r>
              <w:rPr>
                <w:rFonts w:ascii="Times New Roman" w:hAnsi="Times New Roman"/>
                <w:lang w:val="uk-ua"/>
              </w:rPr>
              <w:t>Затвердити звіт Правління Товариства за 2021 та 2022 роки.</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Підсумки голосування:</w:t>
            </w:r>
          </w:p>
          <w:p>
            <w:pPr>
              <w:rPr>
                <w:rFonts w:ascii="Times New Roman" w:hAnsi="Times New Roman"/>
                <w:lang w:val="uk-ua"/>
              </w:rPr>
            </w:pPr>
            <w:r>
              <w:rPr>
                <w:rFonts w:ascii="Times New Roman" w:hAnsi="Times New Roman"/>
                <w:lang w:val="uk-ua"/>
              </w:rPr>
              <w:t>"ЗА" - 11 403 529 голосів, 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 xml:space="preserve"> </w:t>
            </w:r>
          </w:p>
          <w:p>
            <w:pPr>
              <w:rPr>
                <w:rFonts w:ascii="Times New Roman" w:hAnsi="Times New Roman"/>
                <w:lang w:val="uk-ua"/>
              </w:rPr>
            </w:pPr>
            <w:r>
              <w:rPr>
                <w:rFonts w:ascii="Times New Roman" w:hAnsi="Times New Roman"/>
                <w:lang w:val="uk-ua"/>
              </w:rPr>
              <w:t>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Прийняте рішення:</w:t>
            </w:r>
          </w:p>
          <w:p>
            <w:pPr>
              <w:rPr>
                <w:rFonts w:ascii="Times New Roman" w:hAnsi="Times New Roman"/>
                <w:lang w:val="uk-ua"/>
              </w:rPr>
            </w:pPr>
            <w:r>
              <w:rPr>
                <w:rFonts w:ascii="Times New Roman" w:hAnsi="Times New Roman"/>
                <w:lang w:val="uk-ua"/>
              </w:rPr>
              <w:t>Затвердити звіт Правління Товариства за 2021 та 2022 роки.</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2.</w:t>
              <w:tab/>
              <w:t>З ПИТАННЯ 2-ГО ПОРЯДКУ ДЕННОГО: Звіт Наглядової ради Товариства за 2021 та 2022 роки та прийняття рішення за результатами його розгляду.</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Проект рішення:</w:t>
            </w:r>
          </w:p>
          <w:p>
            <w:pPr>
              <w:rPr>
                <w:rFonts w:ascii="Times New Roman" w:hAnsi="Times New Roman"/>
                <w:lang w:val="uk-ua"/>
              </w:rPr>
            </w:pPr>
            <w:r>
              <w:rPr>
                <w:rFonts w:ascii="Times New Roman" w:hAnsi="Times New Roman"/>
                <w:lang w:val="uk-ua"/>
              </w:rPr>
              <w:t>Затвердити звіт Наглядової ради Товариства за 2021 та 2022 роки.</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Підсумки голосування:</w:t>
            </w:r>
          </w:p>
          <w:p>
            <w:pPr>
              <w:rPr>
                <w:rFonts w:ascii="Times New Roman" w:hAnsi="Times New Roman"/>
                <w:lang w:val="uk-ua"/>
              </w:rPr>
            </w:pPr>
            <w:r>
              <w:rPr>
                <w:rFonts w:ascii="Times New Roman" w:hAnsi="Times New Roman"/>
                <w:lang w:val="uk-ua"/>
              </w:rPr>
              <w:t>"ЗА" - 11 403 529 голосів, 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Прийняте рішення:</w:t>
            </w:r>
          </w:p>
          <w:p>
            <w:pPr>
              <w:rPr>
                <w:rFonts w:ascii="Times New Roman" w:hAnsi="Times New Roman"/>
                <w:lang w:val="uk-ua"/>
              </w:rPr>
            </w:pPr>
            <w:r>
              <w:rPr>
                <w:rFonts w:ascii="Times New Roman" w:hAnsi="Times New Roman"/>
                <w:lang w:val="uk-ua"/>
              </w:rPr>
              <w:t>Затвердити звіт Наглядової ради Товариства за 2021 та 2022 роки.</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3.</w:t>
              <w:tab/>
              <w:t>З ПИТАННЯ 3-ГО ПОРЯДКУ ДЕННОГО: Розгляд звіту Ревізора Товариства за 2021 та 2022 роки та прийняття рішення за наслідками його розгляду. Затвердження висновку Ревізора Товариства за підсумками перевірки фінансово-господарської діяльності Товариства за результатами 2021 та 2022 років.</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Проект рішення:</w:t>
            </w:r>
          </w:p>
          <w:p>
            <w:pPr>
              <w:rPr>
                <w:rFonts w:ascii="Times New Roman" w:hAnsi="Times New Roman"/>
                <w:lang w:val="uk-ua"/>
              </w:rPr>
            </w:pPr>
            <w:r>
              <w:rPr>
                <w:rFonts w:ascii="Times New Roman" w:hAnsi="Times New Roman"/>
                <w:lang w:val="uk-ua"/>
              </w:rPr>
              <w:t>Затвердити звіт Ревізора Товариства за 2021 та 2022 роки та висновок Ревізора за підсумками перевірки фінансово-господарської діяльності Товариства за результатами 2021 та 2022 років.</w:t>
            </w:r>
          </w:p>
          <w:p>
            <w:pPr>
              <w:rPr>
                <w:rFonts w:ascii="Times New Roman" w:hAnsi="Times New Roman"/>
                <w:lang w:val="uk-ua"/>
              </w:rPr>
            </w:pPr>
            <w:r>
              <w:rPr>
                <w:rFonts w:ascii="Times New Roman" w:hAnsi="Times New Roman"/>
                <w:lang w:val="uk-ua"/>
              </w:rPr>
              <w:t>Підсумки голосування:</w:t>
            </w:r>
          </w:p>
          <w:p>
            <w:pPr>
              <w:rPr>
                <w:rFonts w:ascii="Times New Roman" w:hAnsi="Times New Roman"/>
                <w:lang w:val="uk-ua"/>
              </w:rPr>
            </w:pPr>
            <w:r>
              <w:rPr>
                <w:rFonts w:ascii="Times New Roman" w:hAnsi="Times New Roman"/>
                <w:lang w:val="uk-ua"/>
              </w:rPr>
              <w:t>"ЗА" - 11 403 529 голосів, 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Не брали участь у голосуванні - 0 голосів, що становить 0% від кількості голосів акціонерів,</w:t>
            </w:r>
          </w:p>
          <w:p>
            <w:pPr>
              <w:rPr>
                <w:rFonts w:ascii="Times New Roman" w:hAnsi="Times New Roman"/>
                <w:lang w:val="uk-ua"/>
              </w:rPr>
            </w:pPr>
            <w:r>
              <w:rPr>
                <w:rFonts w:ascii="Times New Roman" w:hAnsi="Times New Roman"/>
                <w:lang w:val="uk-ua"/>
              </w:rPr>
              <w:t xml:space="preserve"> </w:t>
            </w:r>
          </w:p>
          <w:p>
            <w:pPr>
              <w:rPr>
                <w:rFonts w:ascii="Times New Roman" w:hAnsi="Times New Roman"/>
                <w:lang w:val="uk-ua"/>
              </w:rPr>
            </w:pPr>
            <w:r>
              <w:rPr>
                <w:rFonts w:ascii="Times New Roman" w:hAnsi="Times New Roman"/>
                <w:lang w:val="uk-ua"/>
              </w:rPr>
              <w:t>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Прийняте рішення:</w:t>
            </w:r>
          </w:p>
          <w:p>
            <w:pPr>
              <w:rPr>
                <w:rFonts w:ascii="Times New Roman" w:hAnsi="Times New Roman"/>
                <w:lang w:val="uk-ua"/>
              </w:rPr>
            </w:pPr>
            <w:r>
              <w:rPr>
                <w:rFonts w:ascii="Times New Roman" w:hAnsi="Times New Roman"/>
                <w:lang w:val="uk-ua"/>
              </w:rPr>
              <w:t>Затвердити звіт Ревізора Товариства за 2021 та 2022 роки та висновок Ревізора за підсумками перевірки фінансово-господарської діяльності Товариства за результатами 2021 та 2022 років.</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4.</w:t>
              <w:tab/>
              <w:t>З</w:t>
              <w:tab/>
              <w:t>ПИТАННЯ</w:t>
              <w:tab/>
              <w:t>4-ГО</w:t>
              <w:tab/>
              <w:t>ПОРЯДКУ</w:t>
              <w:tab/>
              <w:t>ДЕННОГО:</w:t>
              <w:tab/>
              <w:t>Затвердження</w:t>
              <w:tab/>
              <w:t>результатів фінансово-господарської діяльності Товариства за 2021 та 2022 роки.</w:t>
            </w:r>
          </w:p>
          <w:p>
            <w:pPr>
              <w:rPr>
                <w:rFonts w:ascii="Times New Roman" w:hAnsi="Times New Roman"/>
                <w:lang w:val="uk-ua"/>
              </w:rPr>
            </w:pPr>
            <w:r>
              <w:rPr>
                <w:rFonts w:ascii="Times New Roman" w:hAnsi="Times New Roman"/>
                <w:lang w:val="uk-ua"/>
              </w:rPr>
              <w:t>Проект рішення:</w:t>
            </w:r>
          </w:p>
          <w:p>
            <w:pPr>
              <w:rPr>
                <w:rFonts w:ascii="Times New Roman" w:hAnsi="Times New Roman"/>
                <w:lang w:val="uk-ua"/>
              </w:rPr>
            </w:pPr>
            <w:r>
              <w:rPr>
                <w:rFonts w:ascii="Times New Roman" w:hAnsi="Times New Roman"/>
                <w:lang w:val="uk-ua"/>
              </w:rPr>
              <w:t>Затвердити результати фінансово-господарської діяльності (річну фінансову звітність) Товариства за 2021 та 2022 роки.</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Підсумки голосування:</w:t>
            </w:r>
          </w:p>
          <w:p>
            <w:pPr>
              <w:rPr>
                <w:rFonts w:ascii="Times New Roman" w:hAnsi="Times New Roman"/>
                <w:lang w:val="uk-ua"/>
              </w:rPr>
            </w:pPr>
            <w:r>
              <w:rPr>
                <w:rFonts w:ascii="Times New Roman" w:hAnsi="Times New Roman"/>
                <w:lang w:val="uk-ua"/>
              </w:rPr>
              <w:t>"ЗА" - 11 403 529 голосів, 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Прийняте рішення:</w:t>
            </w:r>
          </w:p>
          <w:p>
            <w:pPr>
              <w:rPr>
                <w:rFonts w:ascii="Times New Roman" w:hAnsi="Times New Roman"/>
                <w:lang w:val="uk-ua"/>
              </w:rPr>
            </w:pPr>
            <w:r>
              <w:rPr>
                <w:rFonts w:ascii="Times New Roman" w:hAnsi="Times New Roman"/>
                <w:lang w:val="uk-ua"/>
              </w:rPr>
              <w:t>Затвердити результати фінансово-господарської діяльності (річну фінансову звітність) Товариства за 2021 та 2022 роки.</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5.</w:t>
              <w:tab/>
              <w:t>З ПИТАННЯ 5-ГО ПОРЯДКУ ДЕННОГО: Затвердження розподілу прибутку за 2021 та 2022 роки.</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Проект рішення:</w:t>
            </w:r>
          </w:p>
          <w:p>
            <w:pPr>
              <w:rPr>
                <w:rFonts w:ascii="Times New Roman" w:hAnsi="Times New Roman"/>
                <w:lang w:val="uk-ua"/>
              </w:rPr>
            </w:pPr>
            <w:r>
              <w:rPr>
                <w:rFonts w:ascii="Times New Roman" w:hAnsi="Times New Roman"/>
                <w:lang w:val="uk-ua"/>
              </w:rPr>
              <w:t>Прибуток, отриманий Товариством в 2021 році у розмірі 127.50 тис. грн. та у 2022 році у розмірі 45.00 тис. грн., направити на покриття збитків.</w:t>
            </w:r>
          </w:p>
          <w:p>
            <w:pPr>
              <w:rPr>
                <w:rFonts w:ascii="Times New Roman" w:hAnsi="Times New Roman"/>
                <w:lang w:val="uk-ua"/>
              </w:rPr>
            </w:pPr>
            <w:r>
              <w:rPr>
                <w:rFonts w:ascii="Times New Roman" w:hAnsi="Times New Roman"/>
                <w:lang w:val="uk-ua"/>
              </w:rPr>
              <w:t>Підсумки голосування:</w:t>
            </w:r>
          </w:p>
          <w:p>
            <w:pPr>
              <w:rPr>
                <w:rFonts w:ascii="Times New Roman" w:hAnsi="Times New Roman"/>
                <w:lang w:val="uk-ua"/>
              </w:rPr>
            </w:pPr>
            <w:r>
              <w:rPr>
                <w:rFonts w:ascii="Times New Roman" w:hAnsi="Times New Roman"/>
                <w:lang w:val="uk-ua"/>
              </w:rPr>
              <w:t>"ЗА" - 11 403 529 голосів, 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Не брали участь у голосуванні - 0 голосів, що становить 0% від кількості голосів акціонерів,</w:t>
            </w:r>
          </w:p>
          <w:p>
            <w:pPr>
              <w:rPr>
                <w:rFonts w:ascii="Times New Roman" w:hAnsi="Times New Roman"/>
                <w:lang w:val="uk-ua"/>
              </w:rPr>
            </w:pPr>
            <w:r>
              <w:rPr>
                <w:rFonts w:ascii="Times New Roman" w:hAnsi="Times New Roman"/>
                <w:lang w:val="uk-ua"/>
              </w:rPr>
              <w:t xml:space="preserve"> </w:t>
            </w:r>
          </w:p>
          <w:p>
            <w:pPr>
              <w:rPr>
                <w:rFonts w:ascii="Times New Roman" w:hAnsi="Times New Roman"/>
                <w:lang w:val="uk-ua"/>
              </w:rPr>
            </w:pPr>
            <w:r>
              <w:rPr>
                <w:rFonts w:ascii="Times New Roman" w:hAnsi="Times New Roman"/>
                <w:lang w:val="uk-ua"/>
              </w:rPr>
              <w:t>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Прийняте рішення:</w:t>
            </w:r>
          </w:p>
          <w:p>
            <w:pPr>
              <w:rPr>
                <w:rFonts w:ascii="Times New Roman" w:hAnsi="Times New Roman"/>
                <w:lang w:val="uk-ua"/>
              </w:rPr>
            </w:pPr>
            <w:r>
              <w:rPr>
                <w:rFonts w:ascii="Times New Roman" w:hAnsi="Times New Roman"/>
                <w:lang w:val="uk-ua"/>
              </w:rPr>
              <w:t>Прибуток, отриманий Товариством в 2021 році у розмірі 127.50 тис. грн. та у 2022 році у розмірі 45.00 тис. грн., направити на покриття збитків.</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6.</w:t>
              <w:tab/>
              <w:t>З ПИТАННЯ 6-ГО ПОРЯДКУ ДЕННОГО: Внесення змін та доповнень до Статуту Товариства шляхом викладення його в новій редакції.</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Проект рішення:</w:t>
            </w:r>
          </w:p>
          <w:p>
            <w:pPr>
              <w:rPr>
                <w:rFonts w:ascii="Times New Roman" w:hAnsi="Times New Roman"/>
                <w:lang w:val="uk-ua"/>
              </w:rPr>
            </w:pPr>
            <w:r>
              <w:rPr>
                <w:rFonts w:ascii="Times New Roman" w:hAnsi="Times New Roman"/>
                <w:lang w:val="uk-ua"/>
              </w:rPr>
              <w:t>Внести зміни та доповнення до статуту Товариства, у зв'язку з приведенням у його відповідність до чинного законодавства України, шляхом викладення в новій редакції. Уповноважити Голову Правління Товариства Горду Максима Сергійовича підписати статут Товариства в новій редакції.</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Підсумки голосування:</w:t>
            </w:r>
          </w:p>
          <w:p>
            <w:pPr>
              <w:rPr>
                <w:rFonts w:ascii="Times New Roman" w:hAnsi="Times New Roman"/>
                <w:lang w:val="uk-ua"/>
              </w:rPr>
            </w:pPr>
            <w:r>
              <w:rPr>
                <w:rFonts w:ascii="Times New Roman" w:hAnsi="Times New Roman"/>
                <w:lang w:val="uk-ua"/>
              </w:rPr>
              <w:t>"ЗА" - 11 403 529 голосів, 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Прийняте рішення:</w:t>
            </w:r>
          </w:p>
          <w:p>
            <w:pPr>
              <w:rPr>
                <w:rFonts w:ascii="Times New Roman" w:hAnsi="Times New Roman"/>
                <w:lang w:val="uk-ua"/>
              </w:rPr>
            </w:pPr>
            <w:r>
              <w:rPr>
                <w:rFonts w:ascii="Times New Roman" w:hAnsi="Times New Roman"/>
                <w:lang w:val="uk-ua"/>
              </w:rPr>
              <w:t>Внести зміни та доповнення до статуту Товариства, у зв'язку з приведенням у його відповідність до чинного законодавства України, шляхом викладення в новій редакції. Уповноважити Голову Правління Товариства Горду Максима Сергійовича підписати статут Товариства в новій редакції.</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7.</w:t>
              <w:tab/>
              <w:t>З ПИТАННЯ 7-ГО ПОРЯДКУ ДЕННОГО: Визнання такими, що втратили чинність, внесення змін та доповнень шляхом викладення в новій редакції внутрішніх положень Товариства.</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Проект рішення:</w:t>
            </w:r>
          </w:p>
          <w:p>
            <w:pPr>
              <w:rPr>
                <w:rFonts w:ascii="Times New Roman" w:hAnsi="Times New Roman"/>
                <w:lang w:val="uk-ua"/>
              </w:rPr>
            </w:pPr>
            <w:r>
              <w:rPr>
                <w:rFonts w:ascii="Times New Roman" w:hAnsi="Times New Roman"/>
                <w:lang w:val="uk-ua"/>
              </w:rPr>
              <w:t>1.</w:t>
              <w:tab/>
              <w:t>Визнати такими, що втратили чинність, положення Товариства "Про загальні збори акціонерів" та "Про Ревізора".</w:t>
            </w:r>
          </w:p>
          <w:p>
            <w:pPr>
              <w:rPr>
                <w:rFonts w:ascii="Times New Roman" w:hAnsi="Times New Roman"/>
                <w:lang w:val="uk-ua"/>
              </w:rPr>
            </w:pPr>
            <w:r>
              <w:rPr>
                <w:rFonts w:ascii="Times New Roman" w:hAnsi="Times New Roman"/>
                <w:lang w:val="uk-ua"/>
              </w:rPr>
              <w:t>2.</w:t>
              <w:tab/>
              <w:t>Внести зміни та доповнення до положення Товариства "Про Наглядову раду" та "Про Правління" у зв'язку з їх приведенням у відповідність до чинного законодавства України, шляхом викладення в новій редакції.</w:t>
            </w:r>
          </w:p>
          <w:p>
            <w:pPr>
              <w:rPr>
                <w:rFonts w:ascii="Times New Roman" w:hAnsi="Times New Roman"/>
                <w:lang w:val="uk-ua"/>
              </w:rPr>
            </w:pPr>
            <w:r>
              <w:rPr>
                <w:rFonts w:ascii="Times New Roman" w:hAnsi="Times New Roman"/>
                <w:lang w:val="uk-ua"/>
              </w:rPr>
              <w:t xml:space="preserve"> </w:t>
            </w:r>
          </w:p>
          <w:p>
            <w:pPr>
              <w:rPr>
                <w:rFonts w:ascii="Times New Roman" w:hAnsi="Times New Roman"/>
                <w:lang w:val="uk-ua"/>
              </w:rPr>
            </w:pPr>
            <w:r>
              <w:rPr>
                <w:rFonts w:ascii="Times New Roman" w:hAnsi="Times New Roman"/>
                <w:lang w:val="uk-ua"/>
              </w:rPr>
              <w:t>Підсумки голосування:</w:t>
            </w:r>
          </w:p>
          <w:p>
            <w:pPr>
              <w:rPr>
                <w:rFonts w:ascii="Times New Roman" w:hAnsi="Times New Roman"/>
                <w:lang w:val="uk-ua"/>
              </w:rPr>
            </w:pPr>
            <w:r>
              <w:rPr>
                <w:rFonts w:ascii="Times New Roman" w:hAnsi="Times New Roman"/>
                <w:lang w:val="uk-ua"/>
              </w:rPr>
              <w:t>"ЗА" - 11 403 529 голосів, 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Прийняте рішення:</w:t>
            </w:r>
          </w:p>
          <w:p>
            <w:pPr>
              <w:rPr>
                <w:rFonts w:ascii="Times New Roman" w:hAnsi="Times New Roman"/>
                <w:lang w:val="uk-ua"/>
              </w:rPr>
            </w:pPr>
            <w:r>
              <w:rPr>
                <w:rFonts w:ascii="Times New Roman" w:hAnsi="Times New Roman"/>
                <w:lang w:val="uk-ua"/>
              </w:rPr>
              <w:t>1.</w:t>
              <w:tab/>
              <w:t>Визнати такими, що втратили чинність, положення Товариства "Про загальні збори акціонерів" та "Про Ревізора".</w:t>
            </w:r>
          </w:p>
          <w:p>
            <w:pPr>
              <w:rPr>
                <w:rFonts w:ascii="Times New Roman" w:hAnsi="Times New Roman"/>
                <w:lang w:val="uk-ua"/>
              </w:rPr>
            </w:pPr>
            <w:r>
              <w:rPr>
                <w:rFonts w:ascii="Times New Roman" w:hAnsi="Times New Roman"/>
                <w:lang w:val="uk-ua"/>
              </w:rPr>
              <w:t>2.</w:t>
              <w:tab/>
              <w:t>Внести зміни та доповнення до положення Товариства "Про Наглядову раду" та "Про Правління" у зв'язку з їх приведенням у відповідність до чинного законодавства України, шляхом викладення в новій редакції.</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8.</w:t>
              <w:tab/>
              <w:t>З ПИТАННЯ 8-ГО ПОРЯДКУ ДЕННОГО: Припинення повноважень членів Наглядової ради.</w:t>
            </w:r>
          </w:p>
          <w:p>
            <w:pPr>
              <w:rPr>
                <w:rFonts w:ascii="Times New Roman" w:hAnsi="Times New Roman"/>
                <w:lang w:val="uk-ua"/>
              </w:rPr>
            </w:pPr>
            <w:r>
              <w:rPr>
                <w:rFonts w:ascii="Times New Roman" w:hAnsi="Times New Roman"/>
                <w:lang w:val="uk-ua"/>
              </w:rPr>
              <w:t>Проект рішення:</w:t>
            </w:r>
          </w:p>
          <w:p>
            <w:pPr>
              <w:rPr>
                <w:rFonts w:ascii="Times New Roman" w:hAnsi="Times New Roman"/>
                <w:lang w:val="uk-ua"/>
              </w:rPr>
            </w:pPr>
            <w:r>
              <w:rPr>
                <w:rFonts w:ascii="Times New Roman" w:hAnsi="Times New Roman"/>
                <w:lang w:val="uk-ua"/>
              </w:rPr>
              <w:t>Припинити повноваження членів Наглядової ради Лобова Сергія Вікторовича, Іванова Олексія Миколайовича, Усенка Антона Юрійовича.</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Підсумки голосування:</w:t>
            </w:r>
          </w:p>
          <w:p>
            <w:pPr>
              <w:rPr>
                <w:rFonts w:ascii="Times New Roman" w:hAnsi="Times New Roman"/>
                <w:lang w:val="uk-ua"/>
              </w:rPr>
            </w:pPr>
            <w:r>
              <w:rPr>
                <w:rFonts w:ascii="Times New Roman" w:hAnsi="Times New Roman"/>
                <w:lang w:val="uk-ua"/>
              </w:rPr>
              <w:t>"ЗА" - 11 403 529 голосів, 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Прийняте рішення:</w:t>
            </w:r>
          </w:p>
          <w:p>
            <w:pPr>
              <w:rPr>
                <w:rFonts w:ascii="Times New Roman" w:hAnsi="Times New Roman"/>
                <w:lang w:val="uk-ua"/>
              </w:rPr>
            </w:pPr>
            <w:r>
              <w:rPr>
                <w:rFonts w:ascii="Times New Roman" w:hAnsi="Times New Roman"/>
                <w:lang w:val="uk-ua"/>
              </w:rPr>
              <w:t>Припинити повноваження членів Наглядової ради Лобова Сергія Вікторовича, Іванова Олексія Миколайовича, Усенка Антона Юрійовича.</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9.</w:t>
              <w:tab/>
              <w:t>З ПИТАННЯ 9-ГО ПОРЯДКУ ДЕННОГО: Обрання членів Наглядової ради.</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Проект рішення:</w:t>
            </w:r>
          </w:p>
          <w:p>
            <w:pPr>
              <w:rPr>
                <w:rFonts w:ascii="Times New Roman" w:hAnsi="Times New Roman"/>
                <w:lang w:val="uk-ua"/>
              </w:rPr>
            </w:pPr>
            <w:r>
              <w:rPr>
                <w:rFonts w:ascii="Times New Roman" w:hAnsi="Times New Roman"/>
                <w:lang w:val="uk-ua"/>
              </w:rPr>
              <w:t>Обрати членами Наглядової ради:</w:t>
            </w:r>
          </w:p>
          <w:p>
            <w:pPr>
              <w:rPr>
                <w:rFonts w:ascii="Times New Roman" w:hAnsi="Times New Roman"/>
                <w:lang w:val="uk-ua"/>
              </w:rPr>
            </w:pPr>
            <w:r>
              <w:rPr>
                <w:rFonts w:ascii="Times New Roman" w:hAnsi="Times New Roman"/>
                <w:lang w:val="uk-ua"/>
              </w:rPr>
              <w:t>-</w:t>
              <w:tab/>
              <w:t>Панченка Сергія Олександровича, незалежного директора</w:t>
            </w:r>
          </w:p>
          <w:p>
            <w:pPr>
              <w:rPr>
                <w:rFonts w:ascii="Times New Roman" w:hAnsi="Times New Roman"/>
                <w:lang w:val="uk-ua"/>
              </w:rPr>
            </w:pPr>
            <w:r>
              <w:rPr>
                <w:rFonts w:ascii="Times New Roman" w:hAnsi="Times New Roman"/>
                <w:lang w:val="uk-ua"/>
              </w:rPr>
              <w:t xml:space="preserve"> </w:t>
            </w:r>
          </w:p>
          <w:p>
            <w:pPr>
              <w:rPr>
                <w:rFonts w:ascii="Times New Roman" w:hAnsi="Times New Roman"/>
                <w:lang w:val="uk-ua"/>
              </w:rPr>
            </w:pPr>
            <w:r>
              <w:rPr>
                <w:rFonts w:ascii="Times New Roman" w:hAnsi="Times New Roman"/>
                <w:lang w:val="uk-ua"/>
              </w:rPr>
              <w:t>-</w:t>
              <w:tab/>
              <w:t>Ошуркова Едуарда Геннадійовича, незалежного директора,</w:t>
            </w:r>
          </w:p>
          <w:p>
            <w:pPr>
              <w:rPr>
                <w:rFonts w:ascii="Times New Roman" w:hAnsi="Times New Roman"/>
                <w:lang w:val="uk-ua"/>
              </w:rPr>
            </w:pPr>
            <w:r>
              <w:rPr>
                <w:rFonts w:ascii="Times New Roman" w:hAnsi="Times New Roman"/>
                <w:lang w:val="uk-ua"/>
              </w:rPr>
              <w:t>-</w:t>
              <w:tab/>
              <w:t>Іванова Олексія Миколайовича, незалежного директора.</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Підсумки голосування:</w:t>
            </w:r>
          </w:p>
          <w:p>
            <w:pPr>
              <w:rPr>
                <w:rFonts w:ascii="Times New Roman" w:hAnsi="Times New Roman"/>
                <w:lang w:val="uk-ua"/>
              </w:rPr>
            </w:pPr>
            <w:r>
              <w:rPr>
                <w:rFonts w:ascii="Times New Roman" w:hAnsi="Times New Roman"/>
                <w:lang w:val="uk-ua"/>
              </w:rPr>
              <w:t>"ЗА" - 11 403 529 голосів, 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Прийняте рішення:</w:t>
            </w:r>
          </w:p>
          <w:p>
            <w:pPr>
              <w:rPr>
                <w:rFonts w:ascii="Times New Roman" w:hAnsi="Times New Roman"/>
                <w:lang w:val="uk-ua"/>
              </w:rPr>
            </w:pPr>
            <w:r>
              <w:rPr>
                <w:rFonts w:ascii="Times New Roman" w:hAnsi="Times New Roman"/>
                <w:lang w:val="uk-ua"/>
              </w:rPr>
              <w:t>Обрати членами Наглядової ради:</w:t>
            </w:r>
          </w:p>
          <w:p>
            <w:pPr>
              <w:rPr>
                <w:rFonts w:ascii="Times New Roman" w:hAnsi="Times New Roman"/>
                <w:lang w:val="uk-ua"/>
              </w:rPr>
            </w:pPr>
            <w:r>
              <w:rPr>
                <w:rFonts w:ascii="Times New Roman" w:hAnsi="Times New Roman"/>
                <w:lang w:val="uk-ua"/>
              </w:rPr>
              <w:t>-</w:t>
              <w:tab/>
              <w:t>Панченка Сергія Олександровича, незалежного директора</w:t>
            </w:r>
          </w:p>
          <w:p>
            <w:pPr>
              <w:rPr>
                <w:rFonts w:ascii="Times New Roman" w:hAnsi="Times New Roman"/>
                <w:lang w:val="uk-ua"/>
              </w:rPr>
            </w:pPr>
            <w:r>
              <w:rPr>
                <w:rFonts w:ascii="Times New Roman" w:hAnsi="Times New Roman"/>
                <w:lang w:val="uk-ua"/>
              </w:rPr>
              <w:t>-</w:t>
              <w:tab/>
              <w:t>Ошуркова Едуарда Геннадійовича, незалежного директора,</w:t>
            </w:r>
          </w:p>
          <w:p>
            <w:pPr>
              <w:rPr>
                <w:rFonts w:ascii="Times New Roman" w:hAnsi="Times New Roman"/>
                <w:lang w:val="uk-ua"/>
              </w:rPr>
            </w:pPr>
            <w:r>
              <w:rPr>
                <w:rFonts w:ascii="Times New Roman" w:hAnsi="Times New Roman"/>
                <w:lang w:val="uk-ua"/>
              </w:rPr>
              <w:t>-</w:t>
              <w:tab/>
              <w:t>Іванова Олексія Миколайовича, незалежного директора.</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10.</w:t>
              <w:tab/>
              <w:t>З ПИТАННЯ 10-ГО ПОРЯДКУ ДЕННОГО: Затвердження умов цивільно-правових договорів, що укладатимуться з членами Наглядової ради Товариства. Встановлення розміру винагороди членів Наглядової ради Товариства. Обрання особи, яка уповноважується на підписання договорів з членами Наглядової ради Товариства.</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Проект рішення:</w:t>
            </w:r>
          </w:p>
          <w:p>
            <w:pPr>
              <w:rPr>
                <w:rFonts w:ascii="Times New Roman" w:hAnsi="Times New Roman"/>
                <w:lang w:val="uk-ua"/>
              </w:rPr>
            </w:pPr>
            <w:r>
              <w:rPr>
                <w:rFonts w:ascii="Times New Roman" w:hAnsi="Times New Roman"/>
                <w:lang w:val="uk-ua"/>
              </w:rPr>
              <w:t>Встановити, що члени Наглядової ради Товариства здійснюють свої повноваження на безоплатній основі. Затвердити умови договорів, що укладатимуться з членами Наглядової ради. Обрати Голову Правління Товариства особою, яка уповноважується на підписання договорів з членами Наглядової ради Товариства.</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Підсумки голосування:</w:t>
            </w:r>
          </w:p>
          <w:p>
            <w:pPr>
              <w:rPr>
                <w:rFonts w:ascii="Times New Roman" w:hAnsi="Times New Roman"/>
                <w:lang w:val="uk-ua"/>
              </w:rPr>
            </w:pPr>
            <w:r>
              <w:rPr>
                <w:rFonts w:ascii="Times New Roman" w:hAnsi="Times New Roman"/>
                <w:lang w:val="uk-ua"/>
              </w:rPr>
              <w:t>"ЗА" - 11 403 529 голосів, 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Прийняте рішення:</w:t>
            </w:r>
          </w:p>
          <w:p>
            <w:pPr>
              <w:rPr>
                <w:rFonts w:ascii="Times New Roman" w:hAnsi="Times New Roman"/>
                <w:lang w:val="uk-ua"/>
              </w:rPr>
            </w:pPr>
            <w:r>
              <w:rPr>
                <w:rFonts w:ascii="Times New Roman" w:hAnsi="Times New Roman"/>
                <w:lang w:val="uk-ua"/>
              </w:rPr>
              <w:t>Встановити, що члени Наглядової ради Товариства здійснюють свої повноваження на безоплатній основі. Затвердити умови договорів, що укладатимуться з членами Наглядової ради. Обрати Голову Правління Товариства особою, яка уповноважується на підписання</w:t>
            </w:r>
          </w:p>
          <w:p>
            <w:pPr>
              <w:rPr>
                <w:rFonts w:ascii="Times New Roman" w:hAnsi="Times New Roman"/>
                <w:lang w:val="uk-ua"/>
              </w:rPr>
            </w:pPr>
            <w:r>
              <w:rPr>
                <w:rFonts w:ascii="Times New Roman" w:hAnsi="Times New Roman"/>
                <w:lang w:val="uk-ua"/>
              </w:rPr>
              <w:t xml:space="preserve"> </w:t>
            </w:r>
          </w:p>
          <w:p>
            <w:pPr>
              <w:rPr>
                <w:rFonts w:ascii="Times New Roman" w:hAnsi="Times New Roman"/>
                <w:lang w:val="uk-ua"/>
              </w:rPr>
            </w:pPr>
            <w:r>
              <w:rPr>
                <w:rFonts w:ascii="Times New Roman" w:hAnsi="Times New Roman"/>
                <w:lang w:val="uk-ua"/>
              </w:rPr>
              <w:t>договорів з членами Наглядової ради Товариства.</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11.</w:t>
              <w:tab/>
              <w:t>З ПИТАННЯ 11-ГО ПОРЯДКУ ДЕННОГО: Припинення повноважень Ревізора.</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Проект рішення:</w:t>
            </w:r>
          </w:p>
          <w:p>
            <w:pPr>
              <w:rPr>
                <w:rFonts w:ascii="Times New Roman" w:hAnsi="Times New Roman"/>
                <w:lang w:val="uk-ua"/>
              </w:rPr>
            </w:pPr>
            <w:r>
              <w:rPr>
                <w:rFonts w:ascii="Times New Roman" w:hAnsi="Times New Roman"/>
                <w:lang w:val="uk-ua"/>
              </w:rPr>
              <w:t>Припинити повноваження Ревізора Кононенко Наталії Анатоліївни.</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t>Підсумки голосування:</w:t>
            </w:r>
          </w:p>
          <w:p>
            <w:pPr>
              <w:rPr>
                <w:rFonts w:ascii="Times New Roman" w:hAnsi="Times New Roman"/>
                <w:lang w:val="uk-ua"/>
              </w:rPr>
            </w:pPr>
            <w:r>
              <w:rPr>
                <w:rFonts w:ascii="Times New Roman" w:hAnsi="Times New Roman"/>
                <w:lang w:val="uk-ua"/>
              </w:rPr>
              <w:t>"ЗА" - 11 403 529 голосів, 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pPr>
              <w:rPr>
                <w:rFonts w:ascii="Times New Roman" w:hAnsi="Times New Roman"/>
                <w:lang w:val="uk-ua"/>
              </w:rPr>
            </w:pPr>
            <w:r>
              <w:rPr>
                <w:rFonts w:ascii="Times New Roman" w:hAnsi="Times New Roman"/>
                <w:lang w:val="uk-ua"/>
              </w:rPr>
              <w:t>Прийняте рішення:</w:t>
            </w:r>
          </w:p>
          <w:p>
            <w:pPr>
              <w:rPr>
                <w:rFonts w:ascii="Times New Roman" w:hAnsi="Times New Roman"/>
                <w:lang w:val="uk-ua"/>
              </w:rPr>
            </w:pPr>
            <w:r>
              <w:rPr>
                <w:rFonts w:ascii="Times New Roman" w:hAnsi="Times New Roman"/>
                <w:lang w:val="uk-ua"/>
              </w:rPr>
              <w:t>Припинити повноваження Ревізора Кононенко Наталії Анатоліївни.</w:t>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r>
          </w:p>
          <w:p>
            <w:pPr>
              <w:rPr>
                <w:rFonts w:ascii="Times New Roman" w:hAnsi="Times New Roman"/>
                <w:lang w:val="uk-ua"/>
              </w:rPr>
            </w:pPr>
            <w:r>
              <w:rPr>
                <w:rFonts w:ascii="Times New Roman" w:hAnsi="Times New Roman"/>
                <w:lang w:val="uk-ua"/>
              </w:rPr>
            </w:r>
          </w:p>
        </w:tc>
      </w:tr>
      <w:tr>
        <w:trPr>
          <w:cantSplit w:val="0"/>
          <w:trHeight w:val="360" w:hRule="atLeast"/>
        </w:trPr>
        <w:tc>
          <w:tcPr>
            <w:tcW w:w="5000" w:type="pct"/>
            <w:gridSpan w:val="2"/>
            <w:tmTcPr id="1759223788" protected="0"/>
          </w:tcPr>
          <w:p>
            <w:pPr>
              <w:rPr>
                <w:rFonts w:ascii="Times New Roman" w:hAnsi="Times New Roman"/>
                <w:lang w:val="uk-ua"/>
              </w:rPr>
            </w:pPr>
            <w:r>
              <w:rPr>
                <w:rFonts w:ascii="Times New Roman" w:hAnsi="Times New Roman"/>
                <w:b/>
                <w:lang w:val="uk-ua"/>
              </w:rPr>
              <w:t xml:space="preserve">URL-адреса протоколу загальних зборів:  </w:t>
            </w:r>
            <w:r>
              <w:rPr>
                <w:rFonts w:ascii="Times New Roman" w:hAnsi="Times New Roman"/>
                <w:lang w:val="uk-ua"/>
              </w:rPr>
              <w:t>http://fakel.pat.ua</w:t>
            </w:r>
          </w:p>
        </w:tc>
      </w:tr>
    </w:tbl>
    <w:p>
      <w:pPr>
        <w:spacing w:after="0"/>
        <w:rPr>
          <w:rFonts w:ascii="Times New Roman" w:hAnsi="Times New Roman"/>
          <w:sz w:val="20"/>
          <w:lang w:val="uk-ua"/>
        </w:rPr>
      </w:pPr>
      <w:r>
        <w:rPr>
          <w:rFonts w:ascii="Times New Roman" w:hAnsi="Times New Roman"/>
          <w:sz w:val="20"/>
          <w:lang w:val="uk-ua"/>
        </w:rPr>
      </w:r>
    </w:p>
    <w:p>
      <w:pPr>
        <w:spacing w:after="0"/>
        <w:rPr>
          <w:rFonts w:ascii="Times New Roman" w:hAnsi="Times New Roman"/>
          <w:sz w:val="20"/>
          <w:lang w:val="uk-ua"/>
        </w:rPr>
      </w:pPr>
      <w:r>
        <w:rPr>
          <w:rFonts w:ascii="Times New Roman" w:hAnsi="Times New Roman"/>
          <w:sz w:val="20"/>
          <w:lang w:val="uk-ua"/>
        </w:rPr>
      </w:r>
    </w:p>
    <w:p>
      <w:pPr>
        <w:spacing w:after="0"/>
        <w:rPr>
          <w:rFonts w:ascii="Times New Roman" w:hAnsi="Times New Roman"/>
          <w:sz w:val="20"/>
          <w:lang w:val="uk-ua"/>
        </w:rPr>
      </w:pPr>
      <w:r>
        <w:rPr>
          <w:rFonts w:ascii="Times New Roman" w:hAnsi="Times New Roman"/>
          <w:sz w:val="20"/>
          <w:lang w:val="uk-ua"/>
        </w:rPr>
      </w:r>
    </w:p>
    <w:p>
      <w:pPr>
        <w:sectPr>
          <w:footnotePr>
            <w:pos w:val="pageBottom"/>
            <w:numFmt w:val="decimal"/>
            <w:numStart w:val="1"/>
            <w:numRestart w:val="continuous"/>
          </w:footnotePr>
          <w:endnotePr>
            <w:pos w:val="docEnd"/>
            <w:numFmt w:val="lowerRoman"/>
            <w:numStart w:val="1"/>
            <w:numRestart w:val="continuous"/>
          </w:endnotePr>
          <w:headerReference w:type="default" r:id="rId22"/>
          <w:footerReference w:type="default" r:id="rId23"/>
          <w:type w:val="nextPage"/>
          <w:pgSz w:h="16838" w:w="11906"/>
          <w:pgMar w:left="1417" w:top="363" w:right="567" w:bottom="363"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spacing w:before="113" w:after="57" w:line="257" w:lineRule="auto"/>
        <w:jc w:val="center"/>
        <w:suppressAutoHyphens/>
        <w:hyphenationLines w:val="0"/>
        <w:keepNext/>
        <w:keepLines/>
        <w:widowControl w:val="0"/>
        <w:tabs defTabSz="708">
          <w:tab w:val="right" w:pos="771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Частина 4. Рада</w:t>
      </w:r>
    </w:p>
    <w:p>
      <w:pPr>
        <w:ind w:firstLine="283"/>
        <w:spacing w:before="113" w:after="0" w:line="257" w:lineRule="auto"/>
        <w:jc w:val="right"/>
        <w:suppressAutoHyphens/>
        <w:hyphenationLines w:val="0"/>
        <w:keepNext/>
        <w:widowControl w:val="0"/>
        <w:tabs defTabSz="708">
          <w:tab w:val="right" w:pos="7710" w:leader="none"/>
        </w:tabs>
        <w:rPr>
          <w:rFonts w:ascii="Times New Roman" w:hAnsi="Times New Roman" w:eastAsia="Times New Roman"/>
          <w:i/>
          <w:iCs/>
          <w:color w:val="000000"/>
          <w:sz w:val="24"/>
          <w:szCs w:val="24"/>
          <w:lang w:val="uk-ua" w:eastAsia="uk-ua"/>
        </w:rPr>
      </w:pPr>
      <w:r>
        <w:rPr>
          <w:rFonts w:ascii="Times New Roman" w:hAnsi="Times New Roman" w:eastAsia="Times New Roman"/>
          <w:i/>
          <w:iCs/>
          <w:color w:val="000000"/>
          <w:sz w:val="24"/>
          <w:szCs w:val="24"/>
          <w:lang w:val="uk-ua" w:eastAsia="uk-ua"/>
        </w:rPr>
        <w:t>Таблиця 1.</w:t>
      </w:r>
    </w:p>
    <w:p>
      <w:pPr>
        <w:ind w:firstLine="283"/>
        <w:spacing w:before="113"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Персональний склад ради та її комітетів</w:t>
      </w:r>
    </w:p>
    <w:tbl>
      <w:tblPr>
        <w:tblStyle w:val="NormalTable"/>
        <w:name w:val="Таблица36"/>
        <w:tabOrder w:val="0"/>
        <w:jc w:val="left"/>
        <w:tblInd w:w="0" w:type="dxa"/>
        <w:tblW w:w="16113" w:type="dxa"/>
        <w:tblLook w:val="0000" w:firstRow="0" w:lastRow="0" w:firstColumn="0" w:lastColumn="0" w:noHBand="0" w:noVBand="0"/>
      </w:tblPr>
      <w:tblGrid>
        <w:gridCol w:w="5494"/>
        <w:gridCol w:w="1386"/>
        <w:gridCol w:w="1821"/>
        <w:gridCol w:w="1434"/>
        <w:gridCol w:w="1950"/>
        <w:gridCol w:w="2030"/>
        <w:gridCol w:w="1998"/>
      </w:tblGrid>
      <w:tr>
        <w:trPr>
          <w:cantSplit w:val="0"/>
          <w:trHeight w:val="213" w:hRule="atLeast"/>
        </w:trPr>
        <w:tc>
          <w:tcPr>
            <w:tcW w:w="1705" w:type="pct"/>
            <w:vMerge w:val="restar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Ім’я члена ради, строк повноважень у звітному періоді</w:t>
            </w:r>
          </w:p>
        </w:tc>
        <w:tc>
          <w:tcPr>
            <w:tcW w:w="430" w:type="pct"/>
            <w:vMerge w:val="restar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РНОКП</w:t>
            </w:r>
          </w:p>
        </w:tc>
        <w:tc>
          <w:tcPr>
            <w:tcW w:w="565" w:type="pct"/>
            <w:vMerge w:val="restar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УНЗР</w:t>
            </w:r>
          </w:p>
        </w:tc>
        <w:tc>
          <w:tcPr>
            <w:tcW w:w="445" w:type="pct"/>
            <w:vMerge w:val="restar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Голова/ заступник голови ради</w:t>
            </w:r>
          </w:p>
        </w:tc>
        <w:tc>
          <w:tcPr>
            <w:tcW w:w="1855" w:type="pct"/>
            <w:gridSpan w:val="3"/>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Голова / член комітету ради</w:t>
            </w:r>
          </w:p>
        </w:tc>
      </w:tr>
      <w:tr>
        <w:trPr>
          <w:cantSplit w:val="0"/>
          <w:trHeight w:val="60" w:hRule="atLeast"/>
        </w:trPr>
        <w:tc>
          <w:tcPr>
            <w:tcW w:w="1705" w:type="pct"/>
            <w:vMerge/>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tc>
        <w:tc>
          <w:tcPr>
            <w:tcW w:w="430" w:type="pct"/>
            <w:vMerge/>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tc>
        <w:tc>
          <w:tcPr>
            <w:tcW w:w="565" w:type="pct"/>
            <w:vMerge/>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tc>
        <w:tc>
          <w:tcPr>
            <w:tcW w:w="445" w:type="pct"/>
            <w:vMerge/>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tc>
        <w:tc>
          <w:tcPr>
            <w:tcW w:w="6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Комітет 1</w:t>
            </w:r>
          </w:p>
        </w:tc>
        <w:tc>
          <w:tcPr>
            <w:tcW w:w="6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uk-ua" w:eastAsia="uk-ua"/>
              </w:rPr>
              <w:t>Комітет 2</w:t>
            </w:r>
            <w:r>
              <w:rPr>
                <w:rFonts w:ascii="Times New Roman" w:hAnsi="Times New Roman" w:eastAsia="Times New Roman"/>
                <w:b/>
                <w:color w:val="000000"/>
                <w:sz w:val="20"/>
                <w:szCs w:val="20"/>
                <w:lang w:val="en-us" w:eastAsia="uk-ua"/>
              </w:rPr>
            </w:r>
          </w:p>
        </w:tc>
        <w:tc>
          <w:tcPr>
            <w:tcW w:w="62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uk-ua" w:eastAsia="uk-ua"/>
              </w:rPr>
              <w:t>Комітет 3</w:t>
            </w:r>
            <w:r>
              <w:rPr>
                <w:rFonts w:ascii="Times New Roman" w:hAnsi="Times New Roman" w:eastAsia="Times New Roman"/>
                <w:b/>
                <w:color w:val="000000"/>
                <w:sz w:val="20"/>
                <w:szCs w:val="20"/>
                <w:lang w:val="en-us" w:eastAsia="uk-ua"/>
              </w:rPr>
            </w:r>
          </w:p>
        </w:tc>
      </w:tr>
      <w:tr>
        <w:trPr>
          <w:cantSplit w:val="0"/>
          <w:trHeight w:val="60" w:hRule="atLeast"/>
        </w:trPr>
        <w:tc>
          <w:tcPr>
            <w:tcW w:w="1705" w:type="pct"/>
            <w:tcMar>
              <w:left w:w="57"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 xml:space="preserve">                                                  1</w:t>
            </w:r>
          </w:p>
        </w:tc>
        <w:tc>
          <w:tcPr>
            <w:tcW w:w="430"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2</w:t>
            </w:r>
          </w:p>
        </w:tc>
        <w:tc>
          <w:tcPr>
            <w:tcW w:w="56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3</w:t>
            </w:r>
          </w:p>
        </w:tc>
        <w:tc>
          <w:tcPr>
            <w:tcW w:w="44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4</w:t>
            </w:r>
          </w:p>
        </w:tc>
        <w:tc>
          <w:tcPr>
            <w:tcW w:w="6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5</w:t>
            </w:r>
          </w:p>
        </w:tc>
        <w:tc>
          <w:tcPr>
            <w:tcW w:w="6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6</w:t>
            </w:r>
          </w:p>
        </w:tc>
        <w:tc>
          <w:tcPr>
            <w:tcW w:w="62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7</w:t>
            </w:r>
          </w:p>
        </w:tc>
      </w:tr>
      <w:tr>
        <w:trPr>
          <w:cantSplit w:val="0"/>
          <w:trHeight w:val="60" w:hRule="atLeast"/>
        </w:trPr>
        <w:tc>
          <w:tcPr>
            <w:tcW w:w="1705" w:type="pct"/>
            <w:tcMar>
              <w:left w:w="57"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Ошурко Едуард Генадійович</w:t>
            </w:r>
          </w:p>
        </w:tc>
        <w:tc>
          <w:tcPr>
            <w:tcW w:w="430"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56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44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X</w:t>
            </w:r>
          </w:p>
        </w:tc>
        <w:tc>
          <w:tcPr>
            <w:tcW w:w="6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2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r>
      <w:tr>
        <w:trPr>
          <w:cantSplit w:val="0"/>
          <w:trHeight w:val="60" w:hRule="atLeast"/>
        </w:trPr>
        <w:tc>
          <w:tcPr>
            <w:tcW w:w="1705" w:type="pct"/>
            <w:tcMar>
              <w:left w:w="57"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Iванов Олексiй Миколайович</w:t>
            </w:r>
          </w:p>
        </w:tc>
        <w:tc>
          <w:tcPr>
            <w:tcW w:w="430"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56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44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6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2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r>
      <w:tr>
        <w:trPr>
          <w:cantSplit w:val="0"/>
          <w:trHeight w:val="60" w:hRule="atLeast"/>
        </w:trPr>
        <w:tc>
          <w:tcPr>
            <w:tcW w:w="1705" w:type="pct"/>
            <w:tcMar>
              <w:left w:w="57"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Усенко Антон Юрiйович</w:t>
            </w:r>
          </w:p>
        </w:tc>
        <w:tc>
          <w:tcPr>
            <w:tcW w:w="430"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56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44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6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2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r>
      <w:tr>
        <w:trPr>
          <w:cantSplit w:val="0"/>
          <w:trHeight w:val="60" w:hRule="atLeast"/>
        </w:trPr>
        <w:tc>
          <w:tcPr>
            <w:tcW w:w="1705" w:type="pct"/>
            <w:tcMar>
              <w:left w:w="57"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Панченко Сергій Олександрович</w:t>
            </w:r>
          </w:p>
        </w:tc>
        <w:tc>
          <w:tcPr>
            <w:tcW w:w="430"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56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44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6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2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r>
      <w:tr>
        <w:trPr>
          <w:cantSplit w:val="0"/>
          <w:trHeight w:val="60" w:hRule="atLeast"/>
        </w:trPr>
        <w:tc>
          <w:tcPr>
            <w:tcW w:w="1705" w:type="pct"/>
            <w:tcMar>
              <w:left w:w="57"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Лобов Сергій Вікторович</w:t>
            </w:r>
          </w:p>
        </w:tc>
        <w:tc>
          <w:tcPr>
            <w:tcW w:w="430"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56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44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6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2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r>
    </w:tbl>
    <w:p>
      <w:pPr>
        <w:rPr>
          <w:rFonts w:eastAsia="Times New Roman"/>
          <w:lang w:val="uk-ua" w:eastAsia="uk-ua"/>
        </w:rPr>
      </w:pPr>
      <w:r>
        <w:rPr>
          <w:rFonts w:eastAsia="Times New Roman"/>
          <w:lang w:val="uk-ua"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24"/>
          <w:footerReference w:type="default" r:id="rId25"/>
          <w:type w:val="nextPage"/>
          <w:pgSz w:h="11906" w:w="16838" w:orient="landscape"/>
          <w:pgMar w:left="363" w:top="567" w:right="363" w:bottom="567"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ind w:firstLine="283"/>
        <w:spacing w:before="113" w:after="0" w:line="257" w:lineRule="auto"/>
        <w:jc w:val="right"/>
        <w:suppressAutoHyphens/>
        <w:hyphenationLines w:val="0"/>
        <w:keepNext/>
        <w:widowControl w:val="0"/>
        <w:tabs defTabSz="708">
          <w:tab w:val="right" w:pos="7710" w:leader="none"/>
        </w:tabs>
        <w:rPr>
          <w:rFonts w:ascii="Times New Roman" w:hAnsi="Times New Roman" w:eastAsia="Times New Roman"/>
          <w:i/>
          <w:iCs/>
          <w:color w:val="000000"/>
          <w:sz w:val="24"/>
          <w:szCs w:val="24"/>
          <w:lang w:val="uk-ua" w:eastAsia="uk-ua"/>
        </w:rPr>
      </w:pPr>
      <w:r>
        <w:rPr>
          <w:rFonts w:ascii="Times New Roman" w:hAnsi="Times New Roman" w:eastAsia="Times New Roman"/>
          <w:i/>
          <w:iCs/>
          <w:color w:val="000000"/>
          <w:sz w:val="24"/>
          <w:szCs w:val="24"/>
          <w:lang w:val="uk-ua" w:eastAsia="uk-ua"/>
        </w:rPr>
        <w:t>Таблиця 2.</w:t>
      </w:r>
    </w:p>
    <w:p>
      <w:pPr>
        <w:spacing w:before="113"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Інформація про проведені засідання ради та загальний опис прийнятих рішень</w:t>
      </w:r>
    </w:p>
    <w:tbl>
      <w:tblPr>
        <w:tblStyle w:val="NormalTable"/>
        <w:name w:val="Таблица37"/>
        <w:tabOrder w:val="0"/>
        <w:jc w:val="left"/>
        <w:tblInd w:w="0" w:type="dxa"/>
        <w:tblW w:w="9922" w:type="dxa"/>
        <w:tblLook w:val="0000" w:firstRow="0" w:lastRow="0" w:firstColumn="0" w:lastColumn="0" w:noHBand="0" w:noVBand="0"/>
      </w:tblPr>
      <w:tblGrid>
        <w:gridCol w:w="3155"/>
        <w:gridCol w:w="6767"/>
      </w:tblGrid>
      <w:tr>
        <w:trPr>
          <w:cantSplit w:val="0"/>
          <w:trHeight w:val="60" w:hRule="atLeast"/>
        </w:trPr>
        <w:tc>
          <w:tcPr>
            <w:tcW w:w="159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Кількість засідань ради у звітному періоді:</w:t>
            </w:r>
          </w:p>
        </w:tc>
        <w:tc>
          <w:tcPr>
            <w:tcW w:w="3410"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en-us" w:eastAsia="uk-ua"/>
              </w:rPr>
              <w:t>4</w:t>
            </w:r>
            <w:r>
              <w:rPr>
                <w:rFonts w:ascii="Times New Roman" w:hAnsi="Times New Roman" w:eastAsia="Times New Roman"/>
                <w:sz w:val="20"/>
                <w:szCs w:val="20"/>
                <w:lang w:val="uk-ua" w:eastAsia="uk-ua"/>
              </w:rPr>
            </w:r>
          </w:p>
        </w:tc>
      </w:tr>
      <w:tr>
        <w:trPr>
          <w:cantSplit w:val="0"/>
          <w:trHeight w:val="60" w:hRule="atLeast"/>
        </w:trPr>
        <w:tc>
          <w:tcPr>
            <w:tcW w:w="159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з них очних:</w:t>
            </w:r>
          </w:p>
        </w:tc>
        <w:tc>
          <w:tcPr>
            <w:tcW w:w="3410"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en-us" w:eastAsia="uk-ua"/>
              </w:rPr>
              <w:t>4</w:t>
            </w:r>
            <w:r>
              <w:rPr>
                <w:rFonts w:ascii="Times New Roman" w:hAnsi="Times New Roman" w:eastAsia="Times New Roman"/>
                <w:sz w:val="20"/>
                <w:szCs w:val="20"/>
                <w:lang w:val="uk-ua" w:eastAsia="uk-ua"/>
              </w:rPr>
            </w:r>
          </w:p>
        </w:tc>
      </w:tr>
      <w:tr>
        <w:trPr>
          <w:cantSplit w:val="0"/>
          <w:trHeight w:val="60" w:hRule="atLeast"/>
        </w:trPr>
        <w:tc>
          <w:tcPr>
            <w:tcW w:w="159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з них заочних:</w:t>
            </w:r>
          </w:p>
        </w:tc>
        <w:tc>
          <w:tcPr>
            <w:tcW w:w="3410"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en-us" w:eastAsia="uk-ua"/>
              </w:rPr>
              <w:t>0</w:t>
            </w:r>
            <w:r>
              <w:rPr>
                <w:rFonts w:ascii="Times New Roman" w:hAnsi="Times New Roman" w:eastAsia="Times New Roman"/>
                <w:sz w:val="20"/>
                <w:szCs w:val="20"/>
                <w:lang w:val="uk-ua" w:eastAsia="uk-ua"/>
              </w:rPr>
            </w:r>
          </w:p>
        </w:tc>
      </w:tr>
      <w:tr>
        <w:trPr>
          <w:cantSplit w:val="0"/>
          <w:trHeight w:val="19" w:hRule="atLeast"/>
        </w:trPr>
        <w:tc>
          <w:tcPr>
            <w:tcW w:w="159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Опис ключових рішень ради:</w:t>
            </w:r>
          </w:p>
        </w:tc>
        <w:tc>
          <w:tcPr>
            <w:tcW w:w="341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Опис рішень, прийнятих членами наглядової ради в 2023 році (нижче наводяться дати засідань наглядової ради і опис ключових рішень).</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02.02.2023 року прийнято рішення про  надання Голові правління ПРАТ "Макіївський завод "Факел" Горда М.С. повноважень щодо укладання та підписання Договорів поставки та надання послуг з технічного обслуговування вогнегасників з ПРАТ "Метінвест-Покровськвугілля" на суму 6000 000,00 гривень.</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02.02.2023 року прийнято рішення про  надання Голові правління ПРАТ "Макіївський завод "Факел" Горда М.С. повноважень щодо укладання та підписання Договорів поставки та надання послуг з технічного обслуговування вогнегасників з ТОВ "ДТЕК ЕНЕРГО" на суму не більше 6000 000,00 гривень.</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23.03.2023 року прийнято рішення про скликання та дистанційне проведення  річних загальних зборів акціонерів ПРАТ "Макіївський завод "Факел".</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12.04. 2023 року прийнято рішення про затвердження порядку денного річних загальних зборів акціонерів ПРАТ "Макіївський завод "Факел", форми і тексту бюлетенів для голосування на річних загальних зборах акціонерів ПРАТ "Макіївський завод "Факел" та визначення взаємозв'язку між питаннями, включеними до порядку денного річних загальних зборах акціонерів Товариства.</w:t>
            </w:r>
          </w:p>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tc>
      </w:tr>
    </w:tbl>
    <w:p>
      <w:pPr>
        <w:rPr>
          <w:rFonts w:eastAsia="Times New Roman"/>
          <w:lang w:val="uk-ua" w:eastAsia="uk-ua"/>
        </w:rPr>
      </w:pPr>
      <w:r>
        <w:rPr>
          <w:rFonts w:eastAsia="Times New Roman"/>
          <w:lang w:val="uk-ua" w:eastAsia="uk-ua"/>
        </w:rPr>
      </w:r>
    </w:p>
    <w:p>
      <w:pPr>
        <w:spacing w:after="0" w:line="257" w:lineRule="auto"/>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Звіт ради</w:t>
      </w:r>
      <w:r>
        <w:rPr>
          <w:rFonts w:ascii="Times New Roman" w:hAnsi="Times New Roman" w:eastAsia="Times New Roman"/>
          <w:b/>
          <w:color w:val="000000"/>
          <w:sz w:val="24"/>
          <w:szCs w:val="24"/>
          <w:lang w:eastAsia="uk-ua"/>
        </w:rPr>
        <w:t xml:space="preserve"> </w:t>
      </w:r>
      <w:r>
        <w:rPr>
          <w:rFonts w:ascii="Times New Roman" w:hAnsi="Times New Roman" w:eastAsia="Times New Roman"/>
          <w:b/>
          <w:color w:val="000000"/>
          <w:sz w:val="24"/>
          <w:szCs w:val="24"/>
          <w:lang w:val="uk-ua" w:eastAsia="uk-ua"/>
        </w:rPr>
        <w:t>:</w:t>
      </w:r>
      <w:r>
        <w:rPr>
          <w:rFonts w:ascii="Times New Roman" w:hAnsi="Times New Roman" w:eastAsia="Times New Roman"/>
          <w:b/>
          <w:color w:val="000000"/>
          <w:sz w:val="24"/>
          <w:szCs w:val="24"/>
          <w:lang w:val="uk-ua" w:eastAsia="uk-ua"/>
        </w:rPr>
      </w:r>
    </w:p>
    <w:p>
      <w:pPr>
        <w:spacing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Звіт Наглядової ради ПРАТ "Макіївський завод "Факел" за 2023 рік.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Наглядова рада ПРАТ "Макіївський завод "Факел", надалі - Товариство, емітент, є колегіальним органом, що в межах компетенції, визначеної Статутом Товариства, положенням про наглядову раду та Законом України "Про акціонерні товариства", здійснює управління Товариством, а також контролює та регулює діяльність його виконавчого органу.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Наглядова рада щороку звітує перед загальними зборами акціонерів про свою діяльність.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1) Склад, структура та діяльність наглядової ради як колегіального органу.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 звітному році в період з 01.01.2023 по 04.05.2023 року кількісний склад наглядової ради складав 3 (три) особи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w:t>
        <w:tab/>
        <w:t>Лобов Сергій Вікторович - Голова Наглядової ради,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w:t>
        <w:tab/>
        <w:t>Іванов Олексій Миколайович - член наглядової ради,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w:t>
        <w:tab/>
        <w:t>Усенко Антон Юрійович - член Наглядової ради.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Зміни у персональному складі посадових осіб - членів наглядової ради протягом звітного року відбулись на підставі рішення загальних зборів акціонерів, які відбулися 28.04.2023 році та оформлені протоколом від 04.05.2023 року.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 період з 04.05.2023 по 31.12.2023 рік кількісний склад наглядової ради складав 3 (три) особи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w:t>
        <w:tab/>
        <w:t>Ошурков Едуард Геннадійович - Голова Наглядової ради,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w:t>
        <w:tab/>
        <w:t>Іванов Олексій Миколайович - член наглядової ради,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w:t>
        <w:tab/>
        <w:t>Панченко Сергій Олександрович - член Наглядової ради.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Функціональні обов'язки кожного члена наглядової ради визначені чинним законодавством, статутом, положенням про наглядову раду, а також цивільно-правовим договором, що укладений з кожним членом наглядової ради.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2023 році було проведено 4 очних засідання наглядової ради. З усіх питань порядку денного засідань прийняті відповідні рішення.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Кількісний та якісний склад наглядової ради у 2023 році був достатнім для прийняття рішень та вирішення питань, передбачених законодавством України, статутом Товариства та рішеннями загальних зборів акціонерів Товариства.</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2) оцінка компетентності та ефективності кожного члена наглядової ради, включаючи інформацію про його діяльність як посадової особи інших юридичних осіб або іншу діяльність - оплачувану і безоплатну.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Лобов Сергій Вікторович - Голова Наглядової ради.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дно до Протоколу загальних збор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онер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 ПРАТ "Мак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ївський завод "Факел" (ЄДРПОУ 05781213) № 1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11.04.2017 року повноваження Голови Наглядової ради Лобова Серг</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кторовича подовжено з 12.04.2017 року, повноваження припинені 04.05.2023 року.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дпов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дно до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нформац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 отриманої 28 березня 2023 року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ПАТ "Центральний депозитар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України"  встановлено, що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дбулось пряме набуття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зичною особою Лобовим Сергієм Вікторовичем  права власност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на 3600168 штук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(голосуючих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3600168) ПРАТ "Макіївський завод "Факел", що складає 22,747864%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ру Статутного кап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талу Товариства.  Непогашеної судимості за корисливі та посадові злочини не має. Винагороду як Голова Наглядової ради ні в натуральній, ні в грошовій формі не отримує.</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Іванов Олексій Миколайович - член Наглядової ради, незалежний директор.</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Відповідно до Протоколу загальних зборів акціонерів ПРАТ "Мак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ївський завод "Факел" (ЄДРПОУ 05781213) № 1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д 11.04.2017 року прийнято рішення про обрання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ванова Олекс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я Миколайовича на посаду члена Наглядової ради ПРАТ "Макіївський завод "Факел" з 12.04.2017 року по 04.05.2023 року, рішенням зборів акціонерів обрано  членом наглядової ради з 04.05.2023 року строком на три роки.  Протягом останніх 5 років Іванов Олексій Миколайович обіймав наступні посади: З 06.01.2009 р. - 03.07.2013 року обіймав посаду директора ТОВ "Арв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с С</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стем" ЄДРПОУ 36272272; З 08.07.2013 - 09.09.2016 р. обіймав посаду </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нженера-технолога господарського відділу Державної наукової установи "Науково-практичний центр профілактичної та клінічної медицини" Державного управління справами ЄДРПОУ 05415786. Акціями Товариства не володіє. Непогашеної судимості за корисливі та посадові злочини не має. Винагороду як Член Наглядової ради ні в натуральній, ні в грошовій формі не отримує.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Усенко Антон Юрійович - член Наглядової ради, незалежний директор.</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Відповідно до Протоколу загальних зборів акціонерів ПРАТ "Мак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ївський завод "Факел" (ЄДРПОУ 05781213) № 1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11.04.2017 року прийнято рішення про обрання Усенко Антона Юр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йовича на посаду члена Наглядової ради ПРАТ "Мак</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ївський завод "Факел" з 12.04.2017 року строком на п'ять років. Протягом останніх 5 років Усенко Антон Юрійович обіймав наступні посади: З 01.07.2009 р. - 01.02.2010 року обіймав посаду портьє ТОВ "Золотий терикон" ЄДРПОУ 32274428; З 01.02.2010 - 28.09.2012 р. обіймав посаду адміністратора ТОВ "Золотий терикон" ЄДРПОУ 32274428. Акціями Товариства не володіє. Непогашеної судимості за корисливі та посадові злочини не має. Винагороду як Член Наглядової ради ні в натуральній, ні в грошовій формі не отримує.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Панченко Сергій Олександрович - член Наглядової ради, незалежний директор.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Відповідно до Протоколу річних дистанційних загальних зборів акціонерів ПРАТ "Макіївський завод "Факел" (ЄДРПОУ 05781213) № 1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д 04.05.2023 року прийнято рішення про обрання Панченко Сергія Олександровича на посаду члена Наглядової ради ПРАТ "Макіївський завод "Факел" з 04.05.2023 року строком на три роки. Протягом останніх 5 років Панченко Сергій Олександрович обіймав наступні посади: з 04.11.2016 року по 16.11.2020 року заступник директора ТОВ "ЗМП "ПРО-МІКС", з 17.11.2020 року по теперішній час директор ТОВ "ЗМП "ПРО-МІКС". Акціями Товариства не володіє, не є представником акціонера або групи акціонерів Товариства,  є незалежним директором. До кримінальної відповідальності не притягався, непогашеної судимості за корисливі та посадові злочини не має.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Ошурков Едуард Геннадійович - Голова Наглядової ради, незалежний директор</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Відповідно до Протоколу річних дистанційних загальних зборів акціонерів ПРАТ "Макіївський завод "Факел" (ЄДРПОУ 05781213) № 1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д 04.05.2023 року прийнято рішення про обрання Ошуркова Едуарда Геннадійовича на посаду Голови Наглядової ради ПРАТ "Макіївський завод "Факел" з 04.05.2023 року строком на три роки. Протягом останніх 5 років Ошурков Едуард Геннадійович обіймав посаду: з 21.06.2016 року по 31.01.2019 рік менеджер зі збуту ТОВ "Вугілля Інвест", з 22.02.2019 року по теперішній час менеджер зі збуту ТОВ "НТК". Акціями Товариства не володіє, не є представником акціонера або групи акціонерів Товариства,  є незалежним директором. До кримінальної відповідальності не притягався, непогашеної судимості за корисливі та посадові злочини не має.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3) оцінка незалежності кожного з незалежних членів ради.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Лобов Сергій Вікторович - Голова Наглядової ради. 28 березня 2023 року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ПАТ "Центральний депозитар</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України"  встановлено, що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дбулось пряме набуття ф</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зичною особою Лобовим Сергієм Вікторовичем  права власност</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 на 3600168 штук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(голосуючих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й 3600168) ПРАТ "Макіївський завод "Факел", що складає 22,747864% в</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д розм</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ру Статутного кап</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талу Товариства. Після придбання акцій Товариства втратив право вважатися незалежним директором. Непогашеної судимості за корисливі та посадові злочини не має. Винагороду як Член Наглядової ради ні в натуральній, ні в грошовій формі не отримує.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Іванов Олексій Миколайович - член Наглядової ради. Акц</w:t>
      </w:r>
      <w:r>
        <w:rPr>
          <w:rFonts w:ascii="Times New Roman" w:hAnsi="Times New Roman" w:eastAsia="Times New Roman"/>
          <w:sz w:val="20"/>
          <w:szCs w:val="20"/>
          <w:lang w:val="en-us" w:eastAsia="uk-ua"/>
        </w:rPr>
        <w:t>i</w:t>
      </w:r>
      <w:r>
        <w:rPr>
          <w:rFonts w:ascii="Times New Roman" w:hAnsi="Times New Roman" w:eastAsia="Times New Roman"/>
          <w:sz w:val="20"/>
          <w:szCs w:val="20"/>
          <w:lang w:eastAsia="uk-ua"/>
        </w:rPr>
        <w:t xml:space="preserve">ями Товариства не володіє. Непогашеної судимості за корисливі та посадові злочини не має. Винагороду як Член Наглядової ради ні в натуральній, ні в грошовій формі не отримує. </w:t>
      </w: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Усенко Антон Юрійович - член Наглядової ради. Акціями Товариства не володіє. Непогашеної судимості за корисливі та посадові злочини не має. Винагороду як Член Наглядової ради ні в натуральній, ні в грошовій формі не отримує.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Ошурков Едуард Геннадійович - Голова Наглядової ради. Акціями Товариства не володіє. Непогашеної судимості за корисливі та посадові злочини не має. Винагороду як Член Наглядової ради ні в натуральній, ні в грошовій формі не отримує.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Панченко Сергій Олександрович - з 04.05.2023 року Голова Наглядової ради. Акціями Товариства не володіє. Непогашеної судимості за корисливі та посадові злочини не має. Винагороду як Член Наглядової ради ні в натуральній, ні в грошовій формі не отримує.</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4) оцінка компетентності та  ефективності кожного з комітетів ради, їхні функціональні повноваження.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Комітети у складі наглядової ради відсутні ті та не створювались.</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5) оцінка виконання наглядовою радою поставлених цілей</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Наглядова рада ПРАТ "Макіївський завод "Факел" відповідно до повноважень, визначених законодавством, статутом та положенням про наглядову раду, протягом 2023 року здійснювала свою діяльність з метою забезпечення досягнення Товариством визначених цілей: зокрема, контролювала реалізацію основних напрямів діяльності Товариства, визначених статутом, контролювала виконання укладених договорів та відповідність їх основним напрямам діяльності, визначених загальними зборами акціонерів, ухвалювала відповідні рішення щодо.</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6) інформація про внутрішню структуру наглядової ради, процедури, що застосовуються при прийнятті нею рішень.</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Під час прийняття рішень Наглядовою радою ПРАТ "Макіївський завод "Факел" в 2021 році, Наглядова рада керувалась нормами  чинного законодавства України, Статутом ПРАТ "Макіївський завод "Факел" та відповідним положенням про наглядову раду.</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Члени Наглядової ради брали участь в засіданнях ради особисто. Рішення наглядової  ради приймалося простою більшістю голосів членів наглядової ради, які брали участь в засіданні після обговорення кожного з питань порядку денного та голосування по кожному з питань порядку денного.</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Члени наглядової ради виконували свої обов'язки протягом звітного року на безоплатній основі.</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Негативної інформації або негативних факторів щодо складу, структури та діяльності наглядової ради ПРАТ "Макіївський завод "Факел" протягом звітного року не виявлено. Зауваження від акціонерів щодо роботи Наглядової ради не надходили.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Голова Наглядової ради ПРАТ "Макіївський завод "Факел" Ошурков Е.Г.</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26"/>
          <w:footerReference w:type="default" r:id="rId27"/>
          <w:type w:val="nextPage"/>
          <w:pgSz w:h="16838" w:w="11906"/>
          <w:pgMar w:left="1417" w:top="363" w:right="567" w:bottom="363" w:header="708" w:footer="708"/>
          <w:paperSrc w:first="0" w:other="0" a="0" b="0"/>
          <w:pgNumType w:fmt="decimal"/>
          <w:tmGutter w:val="3"/>
          <w:mirrorMargins w:val="0"/>
          <w:tmSection w:h="-1">
            <w:tmHeader w:id="0" w:h="0" edge="708" text="0">
              <w:shd w:val="none"/>
            </w:tmHeader>
            <w:tmFooter w:id="0" w:h="0" edge="708"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spacing w:before="170" w:after="57" w:line="257" w:lineRule="auto"/>
        <w:jc w:val="center"/>
        <w:suppressAutoHyphens/>
        <w:hyphenationLines w:val="0"/>
        <w:keepNext/>
        <w:keepLines/>
        <w:widowControl w:val="0"/>
        <w:tabs defTabSz="708">
          <w:tab w:val="right" w:pos="771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Частина 5. Виконавчий орган</w:t>
      </w:r>
    </w:p>
    <w:p>
      <w:pPr>
        <w:ind w:firstLine="283"/>
        <w:spacing w:before="57" w:after="0" w:line="257" w:lineRule="auto"/>
        <w:jc w:val="right"/>
        <w:suppressAutoHyphens/>
        <w:hyphenationLines w:val="0"/>
        <w:keepNext/>
        <w:widowControl w:val="0"/>
        <w:tabs defTabSz="708">
          <w:tab w:val="right" w:pos="7710" w:leader="none"/>
        </w:tabs>
        <w:rPr>
          <w:rFonts w:ascii="Times New Roman" w:hAnsi="Times New Roman" w:eastAsia="Times New Roman"/>
          <w:i/>
          <w:iCs/>
          <w:color w:val="000000"/>
          <w:sz w:val="24"/>
          <w:szCs w:val="24"/>
          <w:lang w:val="uk-ua" w:eastAsia="uk-ua"/>
        </w:rPr>
      </w:pPr>
      <w:r>
        <w:rPr>
          <w:rFonts w:ascii="Times New Roman" w:hAnsi="Times New Roman" w:eastAsia="Times New Roman"/>
          <w:i/>
          <w:iCs/>
          <w:color w:val="000000"/>
          <w:sz w:val="24"/>
          <w:szCs w:val="24"/>
          <w:lang w:val="uk-ua" w:eastAsia="uk-ua"/>
        </w:rPr>
        <w:t>Таблиця 1.</w:t>
      </w:r>
    </w:p>
    <w:p>
      <w:pPr>
        <w:ind w:firstLine="283"/>
        <w:spacing w:before="113"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Персональний склад колегіального виконавчого органу та його комітетів</w:t>
      </w:r>
    </w:p>
    <w:tbl>
      <w:tblPr>
        <w:tblStyle w:val="NormalTable"/>
        <w:name w:val="Таблица38"/>
        <w:tabOrder w:val="0"/>
        <w:jc w:val="left"/>
        <w:tblInd w:w="0" w:type="dxa"/>
        <w:tblW w:w="16113" w:type="dxa"/>
        <w:tblLook w:val="0000" w:firstRow="0" w:lastRow="0" w:firstColumn="0" w:lastColumn="0" w:noHBand="0" w:noVBand="0"/>
      </w:tblPr>
      <w:tblGrid>
        <w:gridCol w:w="5494"/>
        <w:gridCol w:w="1386"/>
        <w:gridCol w:w="1821"/>
        <w:gridCol w:w="1434"/>
        <w:gridCol w:w="1950"/>
        <w:gridCol w:w="2030"/>
        <w:gridCol w:w="1998"/>
      </w:tblGrid>
      <w:tr>
        <w:trPr>
          <w:cantSplit w:val="0"/>
          <w:trHeight w:val="213" w:hRule="atLeast"/>
        </w:trPr>
        <w:tc>
          <w:tcPr>
            <w:tcW w:w="1705" w:type="pct"/>
            <w:vMerge w:val="restar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Ім’я члена</w:t>
            </w:r>
            <w:r>
              <w:rPr>
                <w:rFonts w:ascii="Times New Roman" w:hAnsi="Times New Roman" w:eastAsia="Times New Roman"/>
                <w:b/>
                <w:color w:val="000000"/>
                <w:sz w:val="20"/>
                <w:szCs w:val="20"/>
                <w:lang w:eastAsia="uk-ua"/>
              </w:rPr>
              <w:t xml:space="preserve"> </w:t>
            </w:r>
            <w:r>
              <w:rPr>
                <w:rFonts w:ascii="Times New Roman" w:hAnsi="Times New Roman" w:eastAsia="Times New Roman"/>
                <w:b/>
                <w:color w:val="000000"/>
                <w:sz w:val="20"/>
                <w:szCs w:val="20"/>
                <w:lang w:val="uk-ua" w:eastAsia="uk-ua"/>
              </w:rPr>
              <w:t>виконавчого органу, строк повноважень у</w:t>
            </w:r>
            <w:r>
              <w:rPr>
                <w:rFonts w:ascii="Times New Roman" w:hAnsi="Times New Roman" w:eastAsia="Times New Roman"/>
                <w:b/>
                <w:color w:val="000000"/>
                <w:sz w:val="20"/>
                <w:szCs w:val="20"/>
                <w:lang w:eastAsia="uk-ua"/>
              </w:rPr>
              <w:t xml:space="preserve"> </w:t>
            </w:r>
            <w:r>
              <w:rPr>
                <w:rFonts w:ascii="Times New Roman" w:hAnsi="Times New Roman" w:eastAsia="Times New Roman"/>
                <w:b/>
                <w:color w:val="000000"/>
                <w:sz w:val="20"/>
                <w:szCs w:val="20"/>
                <w:lang w:val="uk-ua" w:eastAsia="uk-ua"/>
              </w:rPr>
              <w:t>звітному періоді</w:t>
            </w:r>
            <w:r>
              <w:rPr>
                <w:rFonts w:ascii="Times New Roman" w:hAnsi="Times New Roman" w:eastAsia="Times New Roman"/>
                <w:b/>
                <w:color w:val="000000"/>
                <w:sz w:val="20"/>
                <w:szCs w:val="20"/>
                <w:lang w:val="uk-ua" w:eastAsia="uk-ua"/>
              </w:rPr>
            </w:r>
          </w:p>
        </w:tc>
        <w:tc>
          <w:tcPr>
            <w:tcW w:w="430" w:type="pct"/>
            <w:vMerge w:val="restar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РНОКП</w:t>
            </w:r>
          </w:p>
        </w:tc>
        <w:tc>
          <w:tcPr>
            <w:tcW w:w="565" w:type="pct"/>
            <w:vMerge w:val="restar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УНЗР</w:t>
            </w:r>
          </w:p>
        </w:tc>
        <w:tc>
          <w:tcPr>
            <w:tcW w:w="445" w:type="pct"/>
            <w:vMerge w:val="restar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Голова/ заступник голови </w:t>
            </w:r>
            <w:r>
              <w:rPr>
                <w:rFonts w:ascii="Times New Roman" w:hAnsi="Times New Roman" w:eastAsia="Times New Roman"/>
                <w:b/>
                <w:bCs/>
                <w:color w:val="000000"/>
                <w:sz w:val="20"/>
                <w:szCs w:val="20"/>
                <w:lang w:val="uk-ua" w:eastAsia="uk-ua"/>
              </w:rPr>
              <w:t>виконавчого органу</w:t>
            </w:r>
            <w:r>
              <w:rPr>
                <w:rFonts w:ascii="Times New Roman" w:hAnsi="Times New Roman" w:eastAsia="Times New Roman"/>
                <w:b/>
                <w:color w:val="000000"/>
                <w:sz w:val="20"/>
                <w:szCs w:val="20"/>
                <w:lang w:val="uk-ua" w:eastAsia="uk-ua"/>
              </w:rPr>
            </w:r>
          </w:p>
        </w:tc>
        <w:tc>
          <w:tcPr>
            <w:tcW w:w="1855" w:type="pct"/>
            <w:gridSpan w:val="3"/>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Голова / член комітету </w:t>
            </w:r>
            <w:r>
              <w:rPr>
                <w:rFonts w:ascii="Times New Roman" w:hAnsi="Times New Roman" w:eastAsia="Times New Roman"/>
                <w:b/>
                <w:bCs/>
                <w:color w:val="000000"/>
                <w:sz w:val="20"/>
                <w:szCs w:val="20"/>
                <w:lang w:val="uk-ua" w:eastAsia="uk-ua"/>
              </w:rPr>
              <w:t>виконавчого органу</w:t>
            </w:r>
            <w:r>
              <w:rPr>
                <w:rFonts w:ascii="Times New Roman" w:hAnsi="Times New Roman" w:eastAsia="Times New Roman"/>
                <w:b/>
                <w:color w:val="000000"/>
                <w:sz w:val="20"/>
                <w:szCs w:val="20"/>
                <w:lang w:val="uk-ua" w:eastAsia="uk-ua"/>
              </w:rPr>
            </w:r>
          </w:p>
        </w:tc>
      </w:tr>
      <w:tr>
        <w:trPr>
          <w:cantSplit w:val="0"/>
          <w:trHeight w:val="60" w:hRule="atLeast"/>
        </w:trPr>
        <w:tc>
          <w:tcPr>
            <w:tcW w:w="1705" w:type="pct"/>
            <w:vMerge/>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tc>
        <w:tc>
          <w:tcPr>
            <w:tcW w:w="430" w:type="pct"/>
            <w:vMerge/>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tc>
        <w:tc>
          <w:tcPr>
            <w:tcW w:w="565" w:type="pct"/>
            <w:vMerge/>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tc>
        <w:tc>
          <w:tcPr>
            <w:tcW w:w="445" w:type="pct"/>
            <w:vMerge/>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tc>
        <w:tc>
          <w:tcPr>
            <w:tcW w:w="6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uk-ua" w:eastAsia="uk-ua"/>
              </w:rPr>
              <w:t xml:space="preserve">Комітет </w:t>
            </w:r>
            <w:r>
              <w:rPr>
                <w:rFonts w:ascii="Times New Roman" w:hAnsi="Times New Roman" w:eastAsia="Times New Roman"/>
                <w:b/>
                <w:color w:val="000000"/>
                <w:sz w:val="20"/>
                <w:szCs w:val="20"/>
                <w:lang w:val="en-us" w:eastAsia="uk-ua"/>
              </w:rPr>
              <w:t>1</w:t>
            </w:r>
            <w:r>
              <w:rPr>
                <w:rFonts w:ascii="Times New Roman" w:hAnsi="Times New Roman" w:eastAsia="Times New Roman"/>
                <w:b/>
                <w:color w:val="000000"/>
                <w:sz w:val="20"/>
                <w:szCs w:val="20"/>
                <w:lang w:val="en-us" w:eastAsia="uk-ua"/>
              </w:rPr>
            </w:r>
          </w:p>
        </w:tc>
        <w:tc>
          <w:tcPr>
            <w:tcW w:w="6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uk-ua" w:eastAsia="uk-ua"/>
              </w:rPr>
              <w:t xml:space="preserve">Комітет </w:t>
            </w:r>
            <w:r>
              <w:rPr>
                <w:rFonts w:ascii="Times New Roman" w:hAnsi="Times New Roman" w:eastAsia="Times New Roman"/>
                <w:b/>
                <w:color w:val="000000"/>
                <w:sz w:val="20"/>
                <w:szCs w:val="20"/>
                <w:lang w:val="en-us" w:eastAsia="uk-ua"/>
              </w:rPr>
              <w:t>2</w:t>
            </w:r>
            <w:r>
              <w:rPr>
                <w:rFonts w:ascii="Times New Roman" w:hAnsi="Times New Roman" w:eastAsia="Times New Roman"/>
                <w:b/>
                <w:color w:val="000000"/>
                <w:sz w:val="20"/>
                <w:szCs w:val="20"/>
                <w:lang w:val="en-us" w:eastAsia="uk-ua"/>
              </w:rPr>
            </w:r>
          </w:p>
        </w:tc>
        <w:tc>
          <w:tcPr>
            <w:tcW w:w="62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uk-ua" w:eastAsia="uk-ua"/>
              </w:rPr>
              <w:t xml:space="preserve">Комітет </w:t>
            </w:r>
            <w:r>
              <w:rPr>
                <w:rFonts w:ascii="Times New Roman" w:hAnsi="Times New Roman" w:eastAsia="Times New Roman"/>
                <w:b/>
                <w:color w:val="000000"/>
                <w:sz w:val="20"/>
                <w:szCs w:val="20"/>
                <w:lang w:val="en-us" w:eastAsia="uk-ua"/>
              </w:rPr>
              <w:t>3</w:t>
            </w:r>
            <w:r>
              <w:rPr>
                <w:rFonts w:ascii="Times New Roman" w:hAnsi="Times New Roman" w:eastAsia="Times New Roman"/>
                <w:b/>
                <w:color w:val="000000"/>
                <w:sz w:val="20"/>
                <w:szCs w:val="20"/>
                <w:lang w:val="en-us" w:eastAsia="uk-ua"/>
              </w:rPr>
            </w:r>
          </w:p>
        </w:tc>
      </w:tr>
      <w:tr>
        <w:trPr>
          <w:cantSplit w:val="0"/>
          <w:trHeight w:val="60" w:hRule="atLeast"/>
        </w:trPr>
        <w:tc>
          <w:tcPr>
            <w:tcW w:w="1705" w:type="pct"/>
            <w:tcMar>
              <w:left w:w="57"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 xml:space="preserve">                                                  1</w:t>
            </w:r>
          </w:p>
        </w:tc>
        <w:tc>
          <w:tcPr>
            <w:tcW w:w="430"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2</w:t>
            </w:r>
          </w:p>
        </w:tc>
        <w:tc>
          <w:tcPr>
            <w:tcW w:w="56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3</w:t>
            </w:r>
          </w:p>
        </w:tc>
        <w:tc>
          <w:tcPr>
            <w:tcW w:w="44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b/>
                <w:sz w:val="20"/>
                <w:szCs w:val="20"/>
                <w:lang w:val="en-us" w:eastAsia="uk-ua"/>
              </w:rPr>
            </w:pPr>
            <w:r>
              <w:rPr>
                <w:rFonts w:ascii="Times New Roman" w:hAnsi="Times New Roman" w:eastAsia="Times New Roman"/>
                <w:b/>
                <w:sz w:val="20"/>
                <w:szCs w:val="20"/>
                <w:lang w:val="en-us" w:eastAsia="uk-ua"/>
              </w:rPr>
              <w:t>4</w:t>
            </w:r>
          </w:p>
        </w:tc>
        <w:tc>
          <w:tcPr>
            <w:tcW w:w="6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5</w:t>
            </w:r>
          </w:p>
        </w:tc>
        <w:tc>
          <w:tcPr>
            <w:tcW w:w="6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6</w:t>
            </w:r>
          </w:p>
        </w:tc>
        <w:tc>
          <w:tcPr>
            <w:tcW w:w="62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en-us" w:eastAsia="uk-ua"/>
              </w:rPr>
            </w:pPr>
            <w:r>
              <w:rPr>
                <w:rFonts w:ascii="Times New Roman" w:hAnsi="Times New Roman" w:eastAsia="Times New Roman"/>
                <w:b/>
                <w:color w:val="000000"/>
                <w:sz w:val="20"/>
                <w:szCs w:val="20"/>
                <w:lang w:val="en-us" w:eastAsia="uk-ua"/>
              </w:rPr>
              <w:t>7</w:t>
            </w:r>
          </w:p>
        </w:tc>
      </w:tr>
      <w:tr>
        <w:trPr>
          <w:cantSplit w:val="0"/>
          <w:trHeight w:val="60" w:hRule="atLeast"/>
        </w:trPr>
        <w:tc>
          <w:tcPr>
            <w:tcW w:w="1705" w:type="pct"/>
            <w:tcMar>
              <w:left w:w="57"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Горда Максим Сергійович</w:t>
            </w:r>
          </w:p>
        </w:tc>
        <w:tc>
          <w:tcPr>
            <w:tcW w:w="430"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56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44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X</w:t>
            </w:r>
          </w:p>
        </w:tc>
        <w:tc>
          <w:tcPr>
            <w:tcW w:w="6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2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r>
      <w:tr>
        <w:trPr>
          <w:cantSplit w:val="0"/>
          <w:trHeight w:val="60" w:hRule="atLeast"/>
        </w:trPr>
        <w:tc>
          <w:tcPr>
            <w:tcW w:w="1705" w:type="pct"/>
            <w:tcMar>
              <w:left w:w="57"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Демидова Юлія Олександрівна</w:t>
            </w:r>
          </w:p>
        </w:tc>
        <w:tc>
          <w:tcPr>
            <w:tcW w:w="430"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56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445" w:type="pct"/>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r>
          </w:p>
        </w:tc>
        <w:tc>
          <w:tcPr>
            <w:tcW w:w="6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c>
          <w:tcPr>
            <w:tcW w:w="62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r>
          </w:p>
        </w:tc>
      </w:tr>
    </w:tbl>
    <w:p>
      <w:pPr>
        <w:rPr>
          <w:rFonts w:eastAsia="Times New Roman"/>
          <w:lang w:val="uk-ua" w:eastAsia="uk-ua"/>
        </w:rPr>
      </w:pPr>
      <w:r>
        <w:rPr>
          <w:rFonts w:eastAsia="Times New Roman"/>
          <w:lang w:val="uk-ua"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28"/>
          <w:footerReference w:type="default" r:id="rId29"/>
          <w:type w:val="nextPage"/>
          <w:pgSz w:h="11906" w:w="16838" w:orient="landscape"/>
          <w:pgMar w:left="363" w:top="567" w:right="363" w:bottom="567"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ind w:firstLine="283"/>
        <w:spacing w:before="113" w:after="0" w:line="257" w:lineRule="auto"/>
        <w:jc w:val="right"/>
        <w:suppressAutoHyphens/>
        <w:hyphenationLines w:val="0"/>
        <w:keepNext/>
        <w:widowControl w:val="0"/>
        <w:tabs defTabSz="708">
          <w:tab w:val="right" w:pos="7710" w:leader="none"/>
        </w:tabs>
        <w:rPr>
          <w:rFonts w:ascii="Times New Roman" w:hAnsi="Times New Roman" w:eastAsia="Times New Roman"/>
          <w:i/>
          <w:iCs/>
          <w:color w:val="000000"/>
          <w:sz w:val="24"/>
          <w:szCs w:val="24"/>
          <w:lang w:val="uk-ua" w:eastAsia="uk-ua"/>
        </w:rPr>
      </w:pPr>
      <w:r>
        <w:rPr>
          <w:rFonts w:ascii="Times New Roman" w:hAnsi="Times New Roman" w:eastAsia="Times New Roman"/>
          <w:i/>
          <w:iCs/>
          <w:color w:val="000000"/>
          <w:sz w:val="24"/>
          <w:szCs w:val="24"/>
          <w:lang w:val="uk-ua" w:eastAsia="uk-ua"/>
        </w:rPr>
        <w:t>Таблиця 2.</w:t>
      </w:r>
    </w:p>
    <w:p>
      <w:pPr>
        <w:spacing w:before="113"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 xml:space="preserve">Інформація про проведені засідання колегіального виконавчого органу </w:t>
        <w:br w:type="textWrapping"/>
        <w:t>та загальний опис прийнятих рішень</w:t>
      </w:r>
    </w:p>
    <w:tbl>
      <w:tblPr>
        <w:tblStyle w:val="NormalTable"/>
        <w:name w:val="Таблица39"/>
        <w:tabOrder w:val="0"/>
        <w:jc w:val="left"/>
        <w:tblInd w:w="0" w:type="dxa"/>
        <w:tblW w:w="9922" w:type="dxa"/>
        <w:tblLook w:val="0000" w:firstRow="0" w:lastRow="0" w:firstColumn="0" w:lastColumn="0" w:noHBand="0" w:noVBand="0"/>
      </w:tblPr>
      <w:tblGrid>
        <w:gridCol w:w="3155"/>
        <w:gridCol w:w="6767"/>
      </w:tblGrid>
      <w:tr>
        <w:trPr>
          <w:cantSplit w:val="0"/>
          <w:trHeight w:val="60" w:hRule="atLeast"/>
        </w:trPr>
        <w:tc>
          <w:tcPr>
            <w:tcW w:w="159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Кількість засідань </w:t>
            </w:r>
            <w:r>
              <w:rPr>
                <w:rFonts w:ascii="Times New Roman" w:hAnsi="Times New Roman" w:eastAsia="Times New Roman"/>
                <w:b/>
                <w:color w:val="000000"/>
                <w:spacing w:val="-2"/>
                <w:sz w:val="20"/>
                <w:szCs w:val="24"/>
                <w:lang w:val="uk-ua" w:eastAsia="uk-ua"/>
              </w:rPr>
              <w:t>колегіального виконавчого органу</w:t>
            </w:r>
            <w:r>
              <w:rPr>
                <w:rFonts w:ascii="Times New Roman" w:hAnsi="Times New Roman" w:eastAsia="Times New Roman"/>
                <w:b/>
                <w:color w:val="000000"/>
                <w:sz w:val="16"/>
                <w:szCs w:val="20"/>
                <w:lang w:val="uk-ua" w:eastAsia="uk-ua"/>
              </w:rPr>
              <w:t xml:space="preserve"> </w:t>
            </w:r>
            <w:r>
              <w:rPr>
                <w:rFonts w:ascii="Times New Roman" w:hAnsi="Times New Roman" w:eastAsia="Times New Roman"/>
                <w:b/>
                <w:color w:val="000000"/>
                <w:sz w:val="20"/>
                <w:szCs w:val="20"/>
                <w:lang w:val="uk-ua" w:eastAsia="uk-ua"/>
              </w:rPr>
              <w:t>у звітному періоді:</w:t>
            </w:r>
            <w:r>
              <w:rPr>
                <w:rFonts w:ascii="Times New Roman" w:hAnsi="Times New Roman" w:eastAsia="Times New Roman"/>
                <w:b/>
                <w:color w:val="000000"/>
                <w:sz w:val="20"/>
                <w:szCs w:val="20"/>
                <w:lang w:val="uk-ua" w:eastAsia="uk-ua"/>
              </w:rPr>
            </w:r>
          </w:p>
        </w:tc>
        <w:tc>
          <w:tcPr>
            <w:tcW w:w="3410"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en-us" w:eastAsia="uk-ua"/>
              </w:rPr>
              <w:t>0</w:t>
            </w:r>
            <w:r>
              <w:rPr>
                <w:rFonts w:ascii="Times New Roman" w:hAnsi="Times New Roman" w:eastAsia="Times New Roman"/>
                <w:sz w:val="20"/>
                <w:szCs w:val="20"/>
                <w:lang w:val="uk-ua" w:eastAsia="uk-ua"/>
              </w:rPr>
            </w:r>
          </w:p>
        </w:tc>
      </w:tr>
      <w:tr>
        <w:trPr>
          <w:cantSplit w:val="0"/>
          <w:trHeight w:val="60" w:hRule="atLeast"/>
        </w:trPr>
        <w:tc>
          <w:tcPr>
            <w:tcW w:w="159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з них очних:</w:t>
            </w:r>
          </w:p>
        </w:tc>
        <w:tc>
          <w:tcPr>
            <w:tcW w:w="3410"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en-us" w:eastAsia="uk-ua"/>
              </w:rPr>
              <w:t>0</w:t>
            </w:r>
            <w:r>
              <w:rPr>
                <w:rFonts w:ascii="Times New Roman" w:hAnsi="Times New Roman" w:eastAsia="Times New Roman"/>
                <w:sz w:val="20"/>
                <w:szCs w:val="20"/>
                <w:lang w:val="uk-ua" w:eastAsia="uk-ua"/>
              </w:rPr>
            </w:r>
          </w:p>
        </w:tc>
      </w:tr>
      <w:tr>
        <w:trPr>
          <w:cantSplit w:val="0"/>
          <w:trHeight w:val="60" w:hRule="atLeast"/>
        </w:trPr>
        <w:tc>
          <w:tcPr>
            <w:tcW w:w="159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з них заочних:</w:t>
            </w:r>
          </w:p>
        </w:tc>
        <w:tc>
          <w:tcPr>
            <w:tcW w:w="3410"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en-us" w:eastAsia="uk-ua"/>
              </w:rPr>
              <w:t>0</w:t>
            </w:r>
            <w:r>
              <w:rPr>
                <w:rFonts w:ascii="Times New Roman" w:hAnsi="Times New Roman" w:eastAsia="Times New Roman"/>
                <w:sz w:val="20"/>
                <w:szCs w:val="20"/>
                <w:lang w:val="uk-ua" w:eastAsia="uk-ua"/>
              </w:rPr>
            </w:r>
          </w:p>
        </w:tc>
      </w:tr>
      <w:tr>
        <w:trPr>
          <w:cantSplit w:val="0"/>
          <w:trHeight w:val="19" w:hRule="atLeast"/>
        </w:trPr>
        <w:tc>
          <w:tcPr>
            <w:tcW w:w="159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Опис ключових рішень </w:t>
            </w:r>
            <w:r>
              <w:rPr>
                <w:rFonts w:ascii="Times New Roman" w:hAnsi="Times New Roman" w:eastAsia="Times New Roman"/>
                <w:b/>
                <w:color w:val="000000"/>
                <w:spacing w:val="-2"/>
                <w:sz w:val="20"/>
                <w:szCs w:val="24"/>
                <w:lang w:val="uk-ua" w:eastAsia="uk-ua"/>
              </w:rPr>
              <w:t>колегіального виконавчого органу</w:t>
            </w:r>
            <w:r>
              <w:rPr>
                <w:rFonts w:ascii="Times New Roman" w:hAnsi="Times New Roman" w:eastAsia="Times New Roman"/>
                <w:b/>
                <w:color w:val="000000"/>
                <w:sz w:val="20"/>
                <w:szCs w:val="20"/>
                <w:lang w:val="uk-ua" w:eastAsia="uk-ua"/>
              </w:rPr>
              <w:t>:</w:t>
            </w:r>
            <w:r>
              <w:rPr>
                <w:rFonts w:ascii="Times New Roman" w:hAnsi="Times New Roman" w:eastAsia="Times New Roman"/>
                <w:b/>
                <w:color w:val="000000"/>
                <w:sz w:val="20"/>
                <w:szCs w:val="20"/>
                <w:lang w:val="uk-ua" w:eastAsia="uk-ua"/>
              </w:rPr>
            </w:r>
          </w:p>
        </w:tc>
        <w:tc>
          <w:tcPr>
            <w:tcW w:w="341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За період 2023 рік засідання виконавчого органу не  проводилось</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Засідання Правління проводяться в міру необхідності. В звітному періоді засідання проводились. Кожен член Правління має один голос. Правління Товариства правомочне вирішувати винесені на його розгляд питання у випадку, коли в засіданні беруть участь не менш 2х його членів. Рішення Правління приймаються простою більшістю голосів членів Правління. При рівності голосів приймається рішення, за яке проголосував Голова Правління.</w:t>
            </w:r>
          </w:p>
          <w:p>
            <w:pPr>
              <w:spacing w:after="0" w:line="240" w:lineRule="auto"/>
              <w:suppressAutoHyphens/>
              <w:hyphenationLines w:val="0"/>
              <w:widowControl w:val="0"/>
              <w:rPr>
                <w:rFonts w:ascii="Times New Roman" w:hAnsi="Times New Roman" w:eastAsia="Times New Roman"/>
                <w:sz w:val="20"/>
                <w:szCs w:val="20"/>
                <w:lang w:eastAsia="uk-ua"/>
              </w:rPr>
            </w:pPr>
            <w:r>
              <w:rPr>
                <w:rFonts w:ascii="Times New Roman" w:hAnsi="Times New Roman" w:eastAsia="Times New Roman"/>
                <w:sz w:val="20"/>
                <w:szCs w:val="20"/>
                <w:lang w:eastAsia="uk-ua"/>
              </w:rPr>
              <w:t>Голова правління відповідно до Статуту представляє інтереси товариства без довіреності та виконує інші, покладені на нього повноваження виконавчого органу.</w:t>
            </w:r>
          </w:p>
          <w:p>
            <w:pPr>
              <w:spacing w:after="0" w:line="240" w:lineRule="auto"/>
              <w:suppressAutoHyphens/>
              <w:hyphenationLines w:val="0"/>
              <w:widowControl w:val="0"/>
              <w:rPr>
                <w:rFonts w:ascii="Times New Roman" w:hAnsi="Times New Roman" w:eastAsia="Times New Roman"/>
                <w:sz w:val="20"/>
                <w:szCs w:val="20"/>
                <w:lang w:val="uk-ua" w:eastAsia="uk-ua"/>
              </w:rPr>
            </w:pPr>
            <w:r>
              <w:rPr>
                <w:rFonts w:ascii="Times New Roman" w:hAnsi="Times New Roman" w:eastAsia="Times New Roman"/>
                <w:sz w:val="20"/>
                <w:szCs w:val="20"/>
                <w:lang w:val="uk-ua" w:eastAsia="uk-ua"/>
              </w:rPr>
            </w:r>
          </w:p>
        </w:tc>
      </w:tr>
    </w:tbl>
    <w:p>
      <w:pPr>
        <w:rPr>
          <w:rFonts w:eastAsia="Times New Roman"/>
          <w:lang w:val="uk-ua" w:eastAsia="uk-ua"/>
        </w:rPr>
      </w:pPr>
      <w:r>
        <w:rPr>
          <w:rFonts w:eastAsia="Times New Roman"/>
          <w:lang w:val="uk-ua" w:eastAsia="uk-ua"/>
        </w:rPr>
      </w:r>
    </w:p>
    <w:p>
      <w:pPr>
        <w:spacing w:before="57"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t>Звіт виконавчого органу:</w:t>
      </w:r>
    </w:p>
    <w:p>
      <w:pPr>
        <w:spacing w:after="0" w:line="257" w:lineRule="auto"/>
        <w:jc w:val="center"/>
        <w:suppressAutoHyphens/>
        <w:hyphenationLines w:val="0"/>
        <w:widowControl w:val="0"/>
        <w:tabs defTabSz="708">
          <w:tab w:val="right" w:pos="7710" w:leader="none"/>
          <w:tab w:val="right" w:pos="11514" w:leader="none"/>
        </w:tabs>
        <w:rPr>
          <w:rFonts w:ascii="Times New Roman" w:hAnsi="Times New Roman" w:eastAsia="Times New Roman"/>
          <w:b/>
          <w:color w:val="000000"/>
          <w:sz w:val="24"/>
          <w:szCs w:val="24"/>
          <w:lang w:val="uk-ua" w:eastAsia="uk-ua"/>
        </w:rPr>
      </w:pPr>
      <w:r>
        <w:rPr>
          <w:rFonts w:ascii="Times New Roman" w:hAnsi="Times New Roman" w:eastAsia="Times New Roman"/>
          <w:b/>
          <w:color w:val="000000"/>
          <w:sz w:val="24"/>
          <w:szCs w:val="24"/>
          <w:lang w:val="uk-ua"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1) Інформація про розвиток та вірогідні перспективи подальшого розвитку особи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ПРАТ "МАКІЇВСЬКИЙ ЗАВОД "ФАКЕЛ" досконало вивчаються матеріали щодо активного випуску нових моделей вогнегасників, тобто, розширення модельного ряду продукції, що випускається серійно, а саме: виробництво вогнегасників водопінних меншого об'єму, можливості запуску окремого Пункту Технічного Обслуговування Вогнегасників (ПТОВ) для подальшого самостійного проведення робіт з технічного обслуговування вогнегасників для підприємств вугільної галузі України.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Так, на 2023 рік Товариство маємо низку підписаних та пролонгованих Договорів з ключовими контрагентами:</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w:t>
        <w:tab/>
        <w:t>ПрАТ "ШУ "Покровське" - Договір № 2626П від 22.12.2018 року та підписано Специфікацію   на  загальну суму понад 3 млн.   грн.</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ab/>
        <w:t>- З ТОВ "ДТЕК  Павлоградвугілля" підписана Додаткова угода до Договору № 7442-ПУ-УМТС-Т від 28-12-2018 року. Також було досягнуто домовленостей, щодо співпраці з АТ "ПУМБ", за системою "Факторингу", під постачання продукції в адресу ТОВ "Павлоградвугілля"!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ab/>
        <w:t xml:space="preserve">- Підписано  Договір постачання  з ДП "Добропіллявугілля-видобуток", та ДП "Волиньвугілля"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       Плідна співпраця з підприємствами державного й приватного сектору, що є одним з найнадійніших серед тих, що добувають кам'яне вугілля в Україні, дає додатковий поштовх у розвитку ПРАТ "МАКІЇВСЬКИЙ ЗАВОД "ФАКЕЛ".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2)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Укладання деривативів, або вчинення правочинів щодо похідних цінних паперів протягом 2023 року емітентом не здійснювалось, тому відсутній вплив даних факторів на оцінку активів, зобов'язань, фінансового стану і доходів або витрат емітента.</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3) 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Товариство не розробляло та не здійснювало завдання та політику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4) Інформація про схильність особи до цінових ризиків, кредитного ризику, ризику ліквідності та/або ризику грошових потоків</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Щодо питання фінансових ризиків, то товариство у 2023 році, як і у попередніх роках, не укладало угод з банками та іншими фінансовими установами щодо користування кредитними коштами, що в свою чергу свідчить про те, що  на підприємстві немає жодних боргів з непогашених кредитів до будь яких фінансових установ. Не укладались також депозитні договори та договори страхування майна/відповідальності.</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Керівництво Товариства визнає, що діяльність Товариства в сучасних економічних умовах пов'язана з ризиками і вартість активів Товариства у нестабільному ринковому середовищі може суттєво змінитись унаслідок впливу суб'єктивних та об'єктивних чинників, вірогідність та напрямок впливу яких заздалегідь точно передбачити неможливо. До таких ризиків віднесено кредитний ризик, ринковий ризик та ризик ліквідності.</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Управляння ризиками керівництвом Товариства здійснюється на основі розуміння причин виникнення ризику, його можливого впливу на вартість чистих активів та застосування інструментарію щодо його пом'якшення.</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Кредитний ризик - ризик того, що одна сторона к контракту не зможе виконати зобов'язання   і це буде причиною фінансового збитку іншої сторони. Товариство схильно до кредитного ризику, який виражається як ризик того, що контрагент дебітор не буде здатний в повному обсязі й в певний час погасити свої зобов'язання. Кредитний ризик регулярно контролюється і здійснюється за допомогою аналізу здатності контрагента сплатити заборгованість. Товариство намагається укладати угоди з перевіреними, відомими й фінансово стабільними контрагентами. Також Товариство за допомогою отримання інформації із загальнодоступних інформаційних баз даних Національної комісії з цінних паперів та фондового ринку, Єдиного державного реєстру юридичних осіб, фізичних осіб-підприємців та громадських формувань, Автоматизованої системи виконавчих проваджень, інформаційного порталу Державної податкової служби, а також через інформацію отриману безпосередньо від контрагента, аналізує інформацію щодо фінансового стану та змін в діяльності такого контрагента.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 xml:space="preserve">Як зазначалося вище кредитних договорів, договорів застав та подібних до них договорів у звітному році Товариство не укладало й не має не виконаних договорів зі свого боку. </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Ринковий ризик - це ризик того, що справедлива вартість або майбутні грошові потоки від реалізації продукції коливатимуться внаслідок змін ринкових цін або втрати  частини ринку збуту. Ринковий ризик включає валютний ризик, відсотковий ризик та інший ціновий ризик. Ринковий ризик виникає у зв'язку з ризиками збитків, зумовлених коливанням цін на продукцію, обсягами її продажу, зміною валютних курсів. Інший ціновий ризик - це ризик того, що справедлива вартість або майбутні грошові потоки від реалізації продукції коливатимуться внаслідок змін ринкових цін. Валютний ризик - це ризик того, що справедлива вартість або майбутні грошові потоки від господарської діяльності коливатимуться від змін валютних курсів. Оскільки на даний час Товариство не має операцій в іноземній валюті, вплив валютного ризику на вартість чистих активів Товариства мінімальний. Відсотковий ризик - це ризик того, що справедлива вартість або майбутні грошові потоки від ведення господарської діяльності коливатимуться внаслідок ринкових відсоткових ставок. Процентних фінансових зобов'язань Товариство не має, у зв'язку з тим, що не має укладених кредитних угод, а тому й ризик коливань процентних ставок для Товариства мінімальний.</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t>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здійснює контроль ліквідності шляхом планування поточної заборгованістю ліквідності, аналізує терміни платежів, які пов'язані з дебіторською та іншими фінансовими активами, а також прогнозні потоки  грошових коштів від операційної діяльності. Суттєвий вплив на діяльність Товариства можуть мати такі зовнішні ризики, як нестабільність, суперечливість законодавства, непередбачувані дії державних, нестабільність економічної (фінансової, податкової, зовнішньоекономічної та іншої) політики, обставини непереборної сили (форс-мажор), зокрема воєнного стану та воєнних дій на всій території України, спровокованої військовою агресією російської федерації, непередбачувані зміни кон'юнктуру ринку як внутрішнього так і зовнішнього, непередбачувані дії конкурентів військовий стан.</w:t>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after="0" w:line="240" w:lineRule="auto"/>
        <w:rPr>
          <w:rFonts w:ascii="Times New Roman" w:hAnsi="Times New Roman" w:eastAsia="Times New Roman"/>
          <w:sz w:val="20"/>
          <w:szCs w:val="20"/>
          <w:lang w:eastAsia="uk-ua"/>
        </w:rPr>
      </w:pPr>
      <w:r>
        <w:rPr>
          <w:rFonts w:ascii="Times New Roman" w:hAnsi="Times New Roman" w:eastAsia="Times New Roman"/>
          <w:sz w:val="20"/>
          <w:szCs w:val="20"/>
          <w:lang w:eastAsia="uk-ua"/>
        </w:rPr>
      </w:r>
    </w:p>
    <w:p>
      <w:pPr>
        <w:spacing w:before="113" w:after="28" w:line="257" w:lineRule="auto"/>
        <w:suppressAutoHyphens/>
        <w:hyphenationLines w:val="0"/>
        <w:keepNext/>
        <w:keepLines/>
        <w:widowControl w:val="0"/>
        <w:tabs defTabSz="708">
          <w:tab w:val="right" w:pos="771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 xml:space="preserve">Частина 7. Опис основних характеристик систем внутрішнього контролю особи, </w:t>
        <w:br w:type="textWrapping"/>
        <w:t xml:space="preserve">а також перелік структурних підрозділів особи, які здійснюють ключові обов’язки </w:t>
        <w:br w:type="textWrapping"/>
        <w:t>щодо забезпечення роботи систем внутрішнього контролю</w:t>
      </w:r>
      <w:r>
        <w:rPr>
          <w:rFonts w:ascii="Times New Roman" w:hAnsi="Times New Roman" w:eastAsia="Times New Roman"/>
          <w:b/>
          <w:bCs/>
          <w:color w:val="000000"/>
          <w:sz w:val="24"/>
          <w:szCs w:val="24"/>
          <w:lang w:val="uk-ua" w:eastAsia="uk-ua"/>
        </w:rPr>
      </w:r>
    </w:p>
    <w:tbl>
      <w:tblPr>
        <w:tblStyle w:val="NormalTable"/>
        <w:name w:val="Таблица40"/>
        <w:tabOrder w:val="0"/>
        <w:jc w:val="left"/>
        <w:tblInd w:w="0" w:type="dxa"/>
        <w:tblW w:w="9922" w:type="dxa"/>
        <w:tblLook w:val="0000" w:firstRow="0" w:lastRow="0" w:firstColumn="0" w:lastColumn="0" w:noHBand="0" w:noVBand="0"/>
      </w:tblPr>
      <w:tblGrid>
        <w:gridCol w:w="4892"/>
        <w:gridCol w:w="5030"/>
      </w:tblGrid>
      <w:tr>
        <w:trPr>
          <w:cantSplit w:val="0"/>
          <w:trHeight w:val="60" w:hRule="atLeast"/>
        </w:trPr>
        <w:tc>
          <w:tcPr>
            <w:tcW w:w="246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1</w:t>
            </w:r>
          </w:p>
        </w:tc>
        <w:tc>
          <w:tcPr>
            <w:tcW w:w="253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2</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Система внутрішнього контролю передбачає модель трьох ліній захисту     Так/Ні</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Опис функцій підрозділів першої лінії захисту та перелік ключових підрозділів</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Перелік підрозділів та опис функцій підрозділів другої лінії захисту </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Перелік підрозділів та опис функцій підрозділів третьої лінії захисту </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Наявність затвердженого документу (документів), який(які) визначає(ють) політику системи внутрішнього контролю (у тому числі </w:t>
              <w:br w:type="textWrapping"/>
              <w:t>щодо системи комплаєнс та внутрішнього аудиту)</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Перелік основних внутрішніх документів </w:t>
              <w:br w:type="textWrapping"/>
              <w:t xml:space="preserve">щодо системи внутрішнього контролю (у тому числі щодо системи комплаєнс та внутрішнього аудиту) </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 xml:space="preserve">Дата та номер рішення про затвердження звіту </w:t>
              <w:br w:type="textWrapping"/>
              <w:t>щодо системи внутрішнього контролю (у тому числі комплаєнс-ризиків)</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 xml:space="preserve">.  .    </w:t>
            </w:r>
          </w:p>
          <w:p>
            <w:pPr>
              <w:spacing w:after="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Основні положення звіту системи внутрішнього контролю (у тому числі комплаєнс-ризиків)</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Наявність затвердженої декларації схильності до ризиків     Так/Ні</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jc w:val="center"/>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Опис основних положень декларації схильності до ризиків</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Назва органу, який прийняв рішення про затвердження декларації схильності до ризиків</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r>
        <w:trPr>
          <w:cantSplit w:val="0"/>
          <w:trHeight w:val="60" w:hRule="atLeast"/>
        </w:trPr>
        <w:tc>
          <w:tcPr>
            <w:tcW w:w="246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Дата та номер рішення про затвердження декларації схильності до ризиків</w:t>
            </w:r>
          </w:p>
        </w:tc>
        <w:tc>
          <w:tcPr>
            <w:tcW w:w="2535"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 xml:space="preserve">.  .    </w:t>
            </w:r>
          </w:p>
          <w:p>
            <w:pPr>
              <w:spacing w:after="0"/>
              <w:rPr>
                <w:rFonts w:ascii="Times New Roman" w:hAnsi="Times New Roman" w:eastAsia="Times New Roman"/>
                <w:sz w:val="20"/>
                <w:szCs w:val="20"/>
                <w:lang w:val="en-us" w:eastAsia="uk-ua"/>
              </w:rPr>
            </w:pPr>
            <w:r>
              <w:rPr>
                <w:rFonts w:ascii="Times New Roman" w:hAnsi="Times New Roman" w:eastAsia="Times New Roman"/>
                <w:sz w:val="20"/>
                <w:szCs w:val="20"/>
                <w:lang w:val="en-us" w:eastAsia="uk-ua"/>
              </w:rPr>
              <w:t>Ні</w:t>
            </w:r>
          </w:p>
        </w:tc>
      </w:tr>
    </w:tbl>
    <w:p>
      <w:pPr>
        <w:rPr>
          <w:rFonts w:eastAsia="Times New Roman"/>
          <w:lang w:val="uk-ua" w:eastAsia="uk-ua"/>
        </w:rPr>
      </w:pPr>
      <w:r>
        <w:rPr>
          <w:rFonts w:eastAsia="Times New Roman"/>
          <w:lang w:val="uk-ua" w:eastAsia="uk-ua"/>
        </w:rPr>
      </w:r>
    </w:p>
    <w:p>
      <w:pPr>
        <w:rPr>
          <w:rFonts w:eastAsia="Times New Roman"/>
          <w:lang w:val="uk-ua" w:eastAsia="uk-ua"/>
        </w:rPr>
      </w:pPr>
      <w:r>
        <w:rPr>
          <w:rFonts w:eastAsia="Times New Roman"/>
          <w:lang w:val="uk-ua"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30"/>
          <w:footerReference w:type="default" r:id="rId31"/>
          <w:type w:val="nextPage"/>
          <w:pgSz w:h="16838" w:w="11906"/>
          <w:pgMar w:left="1417" w:top="363" w:right="567" w:bottom="363" w:header="708" w:footer="708"/>
          <w:paperSrc w:first="0" w:other="0" a="0" b="0"/>
          <w:pgNumType w:fmt="decimal"/>
          <w:tmGutter w:val="3"/>
          <w:mirrorMargins w:val="0"/>
          <w:tmSection w:h="-1">
            <w:tmHeader w:id="0" w:h="0" edge="708" text="0">
              <w:shd w:val="none"/>
            </w:tmHeader>
            <w:tmFooter w:id="0" w:h="0" edge="708"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spacing w:before="113" w:after="57" w:line="257" w:lineRule="auto"/>
        <w:suppressAutoHyphens/>
        <w:hyphenationLines w:val="0"/>
        <w:keepNext/>
        <w:keepLines/>
        <w:widowControl w:val="0"/>
        <w:tabs defTabSz="708">
          <w:tab w:val="right" w:pos="771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Частина 8. Інформація щодо осіб, які прямо або опосередковано є власниками значного пакета акцій особи</w:t>
      </w:r>
    </w:p>
    <w:tbl>
      <w:tblPr>
        <w:tblStyle w:val="NormalTable"/>
        <w:name w:val="Таблица41"/>
        <w:tabOrder w:val="0"/>
        <w:jc w:val="left"/>
        <w:tblInd w:w="0" w:type="dxa"/>
        <w:tblW w:w="16111" w:type="dxa"/>
        <w:tblLook w:val="0000" w:firstRow="0" w:lastRow="0" w:firstColumn="0" w:lastColumn="0" w:noHBand="0" w:noVBand="0"/>
      </w:tblPr>
      <w:tblGrid>
        <w:gridCol w:w="4511"/>
        <w:gridCol w:w="1788"/>
        <w:gridCol w:w="1772"/>
        <w:gridCol w:w="3206"/>
        <w:gridCol w:w="4834"/>
      </w:tblGrid>
      <w:tr>
        <w:trPr>
          <w:cantSplit w:val="0"/>
          <w:trHeight w:val="60" w:hRule="atLeast"/>
        </w:trPr>
        <w:tc>
          <w:tcPr>
            <w:tcW w:w="14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eastAsia="uk-ua"/>
              </w:rPr>
              <w:t xml:space="preserve">        </w:t>
            </w:r>
            <w:r>
              <w:rPr>
                <w:rFonts w:ascii="Times New Roman" w:hAnsi="Times New Roman" w:eastAsia="Times New Roman"/>
                <w:b/>
                <w:color w:val="000000"/>
                <w:sz w:val="20"/>
                <w:szCs w:val="20"/>
                <w:lang w:val="uk-ua" w:eastAsia="uk-ua"/>
              </w:rPr>
              <w:t xml:space="preserve">Ім’я або повне найменування акціонера </w:t>
            </w:r>
            <w:r>
              <w:rPr>
                <w:rFonts w:ascii="Times New Roman" w:hAnsi="Times New Roman" w:eastAsia="Times New Roman"/>
                <w:b/>
                <w:color w:val="000000"/>
                <w:sz w:val="20"/>
                <w:szCs w:val="20"/>
                <w:lang w:val="uk-ua" w:eastAsia="uk-ua"/>
              </w:rPr>
            </w:r>
          </w:p>
        </w:tc>
        <w:tc>
          <w:tcPr>
            <w:tcW w:w="55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РНОКПП</w:t>
            </w:r>
          </w:p>
        </w:tc>
        <w:tc>
          <w:tcPr>
            <w:tcW w:w="5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УНЗР</w:t>
            </w:r>
          </w:p>
        </w:tc>
        <w:tc>
          <w:tcPr>
            <w:tcW w:w="99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Розмір значного пакета акцій</w:t>
            </w:r>
          </w:p>
        </w:tc>
        <w:tc>
          <w:tcPr>
            <w:tcW w:w="15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Розмір пакета акцій, що знаходиться в прямому та (опосередкованому) володінні</w:t>
            </w:r>
          </w:p>
        </w:tc>
      </w:tr>
      <w:tr>
        <w:trPr>
          <w:cantSplit w:val="0"/>
          <w:trHeight w:val="60" w:hRule="atLeast"/>
        </w:trPr>
        <w:tc>
          <w:tcPr>
            <w:tcW w:w="14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Шалободіна Оксана Олександрівна</w:t>
            </w:r>
          </w:p>
        </w:tc>
        <w:tc>
          <w:tcPr>
            <w:tcW w:w="55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r>
          </w:p>
        </w:tc>
        <w:tc>
          <w:tcPr>
            <w:tcW w:w="5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r>
          </w:p>
        </w:tc>
        <w:tc>
          <w:tcPr>
            <w:tcW w:w="99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1908364</w:t>
            </w:r>
          </w:p>
        </w:tc>
        <w:tc>
          <w:tcPr>
            <w:tcW w:w="15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1908364</w:t>
            </w:r>
          </w:p>
        </w:tc>
      </w:tr>
      <w:tr>
        <w:trPr>
          <w:cantSplit w:val="0"/>
          <w:trHeight w:val="60" w:hRule="atLeast"/>
        </w:trPr>
        <w:tc>
          <w:tcPr>
            <w:tcW w:w="14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Чоботок Яна Володимирівна</w:t>
            </w:r>
          </w:p>
        </w:tc>
        <w:tc>
          <w:tcPr>
            <w:tcW w:w="55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r>
          </w:p>
        </w:tc>
        <w:tc>
          <w:tcPr>
            <w:tcW w:w="5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r>
          </w:p>
        </w:tc>
        <w:tc>
          <w:tcPr>
            <w:tcW w:w="99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3840747</w:t>
            </w:r>
          </w:p>
        </w:tc>
        <w:tc>
          <w:tcPr>
            <w:tcW w:w="15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3840747</w:t>
            </w:r>
          </w:p>
        </w:tc>
      </w:tr>
      <w:tr>
        <w:trPr>
          <w:cantSplit w:val="0"/>
          <w:trHeight w:val="60" w:hRule="atLeast"/>
        </w:trPr>
        <w:tc>
          <w:tcPr>
            <w:tcW w:w="14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Лобов Сергій Вікторович</w:t>
            </w:r>
          </w:p>
        </w:tc>
        <w:tc>
          <w:tcPr>
            <w:tcW w:w="55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r>
          </w:p>
        </w:tc>
        <w:tc>
          <w:tcPr>
            <w:tcW w:w="5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r>
          </w:p>
        </w:tc>
        <w:tc>
          <w:tcPr>
            <w:tcW w:w="99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3600168</w:t>
            </w:r>
          </w:p>
        </w:tc>
        <w:tc>
          <w:tcPr>
            <w:tcW w:w="15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3600168</w:t>
            </w:r>
          </w:p>
        </w:tc>
      </w:tr>
      <w:tr>
        <w:trPr>
          <w:cantSplit w:val="0"/>
          <w:trHeight w:val="60" w:hRule="atLeast"/>
        </w:trPr>
        <w:tc>
          <w:tcPr>
            <w:tcW w:w="14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Товариство з обмеженою відповідальністю "Гортехносервіс"</w:t>
            </w:r>
          </w:p>
        </w:tc>
        <w:tc>
          <w:tcPr>
            <w:tcW w:w="55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r>
          </w:p>
        </w:tc>
        <w:tc>
          <w:tcPr>
            <w:tcW w:w="5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r>
          </w:p>
        </w:tc>
        <w:tc>
          <w:tcPr>
            <w:tcW w:w="99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3877468</w:t>
            </w:r>
          </w:p>
        </w:tc>
        <w:tc>
          <w:tcPr>
            <w:tcW w:w="15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3877468</w:t>
            </w:r>
          </w:p>
        </w:tc>
      </w:tr>
      <w:tr>
        <w:trPr>
          <w:cantSplit w:val="0"/>
          <w:trHeight w:val="60" w:hRule="atLeast"/>
        </w:trPr>
        <w:tc>
          <w:tcPr>
            <w:tcW w:w="14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Пугач Юлія Олександрівна</w:t>
            </w:r>
          </w:p>
        </w:tc>
        <w:tc>
          <w:tcPr>
            <w:tcW w:w="55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r>
          </w:p>
        </w:tc>
        <w:tc>
          <w:tcPr>
            <w:tcW w:w="5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r>
          </w:p>
        </w:tc>
        <w:tc>
          <w:tcPr>
            <w:tcW w:w="99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2054250</w:t>
            </w:r>
          </w:p>
        </w:tc>
        <w:tc>
          <w:tcPr>
            <w:tcW w:w="15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2054250</w:t>
            </w:r>
          </w:p>
        </w:tc>
      </w:tr>
    </w:tbl>
    <w:p>
      <w:pPr>
        <w:rPr>
          <w:rFonts w:eastAsia="Times New Roman"/>
          <w:lang w:val="uk-ua" w:eastAsia="uk-ua"/>
        </w:rPr>
      </w:pPr>
      <w:r>
        <w:rPr>
          <w:rFonts w:eastAsia="Times New Roman"/>
          <w:lang w:val="uk-ua" w:eastAsia="uk-ua"/>
        </w:rPr>
      </w:r>
    </w:p>
    <w:p>
      <w:pPr>
        <w:spacing w:before="113" w:after="57" w:line="257" w:lineRule="auto"/>
        <w:suppressAutoHyphens/>
        <w:hyphenationLines w:val="0"/>
        <w:keepNext/>
        <w:keepLines/>
        <w:widowControl w:val="0"/>
        <w:tabs defTabSz="708">
          <w:tab w:val="right" w:pos="771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Частина 9. Інформація щодо будь-яких обмежень прав участі та голосування акціонерів (учасників) на загальних зборах особи</w:t>
      </w:r>
    </w:p>
    <w:tbl>
      <w:tblPr>
        <w:tblStyle w:val="NormalTable"/>
        <w:name w:val="Таблица42"/>
        <w:tabOrder w:val="0"/>
        <w:jc w:val="left"/>
        <w:tblInd w:w="0" w:type="dxa"/>
        <w:tblW w:w="16129" w:type="dxa"/>
        <w:tblLook w:val="0000" w:firstRow="0" w:lastRow="0" w:firstColumn="0" w:lastColumn="0" w:noHBand="0" w:noVBand="0"/>
      </w:tblPr>
      <w:tblGrid>
        <w:gridCol w:w="7025"/>
        <w:gridCol w:w="1289"/>
        <w:gridCol w:w="1531"/>
        <w:gridCol w:w="6284"/>
      </w:tblGrid>
      <w:tr>
        <w:trPr>
          <w:cantSplit w:val="0"/>
          <w:trHeight w:val="60" w:hRule="atLeast"/>
        </w:trPr>
        <w:tc>
          <w:tcPr>
            <w:tcW w:w="21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eastAsia="uk-ua"/>
              </w:rPr>
              <w:t xml:space="preserve">                                               </w:t>
            </w:r>
            <w:r>
              <w:rPr>
                <w:rFonts w:ascii="Times New Roman" w:hAnsi="Times New Roman" w:eastAsia="Times New Roman"/>
                <w:b/>
                <w:color w:val="000000"/>
                <w:sz w:val="20"/>
                <w:szCs w:val="24"/>
                <w:lang w:val="uk-ua" w:eastAsia="uk-ua"/>
              </w:rPr>
              <w:t xml:space="preserve">Ім’я або повне найменування </w:t>
            </w:r>
            <w:r>
              <w:rPr>
                <w:rFonts w:ascii="Times New Roman" w:hAnsi="Times New Roman" w:eastAsia="Times New Roman"/>
                <w:b/>
                <w:color w:val="000000"/>
                <w:sz w:val="20"/>
                <w:szCs w:val="24"/>
                <w:lang w:val="uk-ua" w:eastAsia="uk-ua"/>
              </w:rPr>
              <w:br w:type="textWrapping"/>
            </w:r>
            <w:r>
              <w:rPr>
                <w:rFonts w:ascii="Times New Roman" w:hAnsi="Times New Roman" w:eastAsia="Times New Roman"/>
                <w:b/>
                <w:color w:val="000000"/>
                <w:sz w:val="20"/>
                <w:szCs w:val="24"/>
                <w:lang w:eastAsia="uk-ua"/>
              </w:rPr>
              <w:t xml:space="preserve">      </w:t>
            </w:r>
            <w:r>
              <w:rPr>
                <w:rFonts w:ascii="Times New Roman" w:hAnsi="Times New Roman" w:eastAsia="Times New Roman"/>
                <w:b/>
                <w:color w:val="000000"/>
                <w:sz w:val="20"/>
                <w:szCs w:val="24"/>
                <w:lang w:val="uk-ua" w:eastAsia="uk-ua"/>
              </w:rPr>
              <w:t>акціонера (учасника) права участі та/або голосування якого обмежено</w:t>
            </w:r>
            <w:r>
              <w:rPr>
                <w:rFonts w:ascii="Times New Roman" w:hAnsi="Times New Roman" w:eastAsia="Times New Roman"/>
                <w:b/>
                <w:color w:val="000000"/>
                <w:sz w:val="20"/>
                <w:szCs w:val="24"/>
                <w:lang w:val="uk-ua" w:eastAsia="uk-ua"/>
              </w:rPr>
            </w:r>
          </w:p>
        </w:tc>
        <w:tc>
          <w:tcPr>
            <w:tcW w:w="4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РНОКПП</w:t>
            </w:r>
          </w:p>
        </w:tc>
        <w:tc>
          <w:tcPr>
            <w:tcW w:w="47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УНЗР</w:t>
            </w:r>
          </w:p>
        </w:tc>
        <w:tc>
          <w:tcPr>
            <w:tcW w:w="19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Опис наявного обмеження</w:t>
            </w:r>
          </w:p>
        </w:tc>
      </w:tr>
      <w:tr>
        <w:trPr>
          <w:cantSplit w:val="0"/>
          <w:trHeight w:val="60" w:hRule="atLeast"/>
        </w:trPr>
        <w:tc>
          <w:tcPr>
            <w:tcW w:w="21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eastAsia="uk-ua"/>
              </w:rPr>
            </w:pPr>
            <w:r>
              <w:rPr>
                <w:rFonts w:ascii="Times New Roman" w:hAnsi="Times New Roman" w:eastAsia="Times New Roman"/>
                <w:color w:val="000000"/>
                <w:sz w:val="20"/>
                <w:szCs w:val="24"/>
                <w:lang w:eastAsia="uk-ua"/>
              </w:rPr>
            </w:r>
          </w:p>
        </w:tc>
        <w:tc>
          <w:tcPr>
            <w:tcW w:w="4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r>
          </w:p>
        </w:tc>
        <w:tc>
          <w:tcPr>
            <w:tcW w:w="47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r>
          </w:p>
        </w:tc>
        <w:tc>
          <w:tcPr>
            <w:tcW w:w="195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 xml:space="preserve">Товариство не встановлювало в статутi або внутрiшнiх документах будь-якi обмеження щодо вiльного розпорядження належними акцiонеру акцiями, в тому числi, будь-якi обмеження прав участi та голосування акцiонерiв на загальних зборах. </w:t>
            </w:r>
          </w:p>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 xml:space="preserve">Вiдповiдно до п.10 роздiлу VI Прикiнцевi та перехiднi положення Закону України "Про депозитарну систему України" тi акцiонери, якi не уклали з обраною емiтентом депозитарною установою договору про обслуговування рахунка в цiнних паперах вiд власного iменi або не здiйснили переказ належних йому прав на цiннi папери на свiй рахунок у цiнних паперах, вiдкритий в iншiй депозитарнiй установi, цiннi папери такого власника (якi дають право на участь в органах емiтента) не враховуються при визначеннi кворуму та при голосуваннi в органах емiтента. Отже, депозитарною установою в системi депозитарного облiку наразi встановленi обмеження щодо врахування цiнних паперiв при визначеннi кворуму та при голосуванні в органах емiтента. </w:t>
            </w:r>
          </w:p>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Згiдно реєстру акцiонерiв кiлькiсть неголосуючих акцiй становить – 528330 шт. (в 2023р)</w:t>
            </w:r>
          </w:p>
        </w:tc>
      </w:tr>
    </w:tbl>
    <w:p>
      <w:pPr>
        <w:ind w:firstLine="283"/>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r>
    </w:p>
    <w:p>
      <w:r/>
    </w:p>
    <w:p>
      <w:pPr>
        <w:spacing w:before="170" w:after="57" w:line="257" w:lineRule="auto"/>
        <w:suppressAutoHyphens/>
        <w:hyphenationLines w:val="0"/>
        <w:keepNext/>
        <w:keepLines/>
        <w:widowControl w:val="0"/>
        <w:tabs defTabSz="708">
          <w:tab w:val="right" w:pos="771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Частина 10. Інформація щодо порядку призначення/звільнення посадових осіб (крім ради та виконавчого органу) особи</w:t>
      </w:r>
    </w:p>
    <w:tbl>
      <w:tblPr>
        <w:tblStyle w:val="NormalTable"/>
        <w:name w:val="Таблица43"/>
        <w:tabOrder w:val="0"/>
        <w:jc w:val="left"/>
        <w:tblInd w:w="0" w:type="dxa"/>
        <w:tblW w:w="16095" w:type="dxa"/>
        <w:tblLook w:val="0000" w:firstRow="0" w:lastRow="0" w:firstColumn="0" w:lastColumn="0" w:noHBand="0" w:noVBand="0"/>
      </w:tblPr>
      <w:tblGrid>
        <w:gridCol w:w="3786"/>
        <w:gridCol w:w="1402"/>
        <w:gridCol w:w="1676"/>
        <w:gridCol w:w="3077"/>
        <w:gridCol w:w="3077"/>
        <w:gridCol w:w="3077"/>
      </w:tblGrid>
      <w:tr>
        <w:trPr>
          <w:cantSplit w:val="0"/>
          <w:trHeight w:val="60" w:hRule="atLeast"/>
        </w:trPr>
        <w:tc>
          <w:tcPr>
            <w:tcW w:w="117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eastAsia="uk-ua"/>
              </w:rPr>
              <w:t xml:space="preserve">                    </w:t>
            </w:r>
            <w:r>
              <w:rPr>
                <w:rFonts w:ascii="Times New Roman" w:hAnsi="Times New Roman" w:eastAsia="Times New Roman"/>
                <w:b/>
                <w:color w:val="000000"/>
                <w:sz w:val="20"/>
                <w:szCs w:val="24"/>
                <w:lang w:val="uk-ua" w:eastAsia="uk-ua"/>
              </w:rPr>
              <w:t xml:space="preserve">Ім’я посадової особи </w:t>
            </w:r>
            <w:r>
              <w:rPr>
                <w:rFonts w:ascii="Times New Roman" w:hAnsi="Times New Roman" w:eastAsia="Times New Roman"/>
                <w:b/>
                <w:color w:val="000000"/>
                <w:sz w:val="20"/>
                <w:szCs w:val="24"/>
                <w:lang w:val="uk-ua" w:eastAsia="uk-ua"/>
              </w:rPr>
            </w:r>
          </w:p>
        </w:tc>
        <w:tc>
          <w:tcPr>
            <w:tcW w:w="43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РНОКПП</w:t>
            </w:r>
          </w:p>
        </w:tc>
        <w:tc>
          <w:tcPr>
            <w:tcW w:w="5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УНЗР</w:t>
            </w:r>
          </w:p>
        </w:tc>
        <w:tc>
          <w:tcPr>
            <w:tcW w:w="95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xml:space="preserve">Назва посади, </w:t>
              <w:br w:type="textWrapping"/>
              <w:t xml:space="preserve">назва органу, </w:t>
              <w:br w:type="textWrapping"/>
              <w:t xml:space="preserve">який прийняв рішення про призначення посадової особи, дата та номер рішення </w:t>
            </w:r>
          </w:p>
        </w:tc>
        <w:tc>
          <w:tcPr>
            <w:tcW w:w="95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Опис ключових повноважень посадової особи</w:t>
            </w:r>
          </w:p>
        </w:tc>
        <w:tc>
          <w:tcPr>
            <w:tcW w:w="95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Порядок призначення та звільнення посадової особи</w:t>
            </w:r>
          </w:p>
        </w:tc>
      </w:tr>
      <w:tr>
        <w:trPr>
          <w:cantSplit w:val="0"/>
          <w:trHeight w:val="60" w:hRule="atLeast"/>
        </w:trPr>
        <w:tc>
          <w:tcPr>
            <w:tcW w:w="117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Кононенко Наталія Анатоліївна</w:t>
            </w:r>
          </w:p>
        </w:tc>
        <w:tc>
          <w:tcPr>
            <w:tcW w:w="43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r>
          </w:p>
        </w:tc>
        <w:tc>
          <w:tcPr>
            <w:tcW w:w="5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r>
          </w:p>
        </w:tc>
        <w:tc>
          <w:tcPr>
            <w:tcW w:w="95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Ревізор</w:t>
            </w:r>
          </w:p>
        </w:tc>
        <w:tc>
          <w:tcPr>
            <w:tcW w:w="95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r>
          </w:p>
        </w:tc>
        <w:tc>
          <w:tcPr>
            <w:tcW w:w="95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Звільнено 04.05.2023р.</w:t>
            </w:r>
          </w:p>
        </w:tc>
      </w:tr>
    </w:tbl>
    <w:p>
      <w:pPr>
        <w:ind w:firstLine="283"/>
        <w:spacing w:after="0" w:line="257" w:lineRule="auto"/>
        <w:jc w:val="both"/>
        <w:suppressAutoHyphens/>
        <w:hyphenationLines w:val="0"/>
        <w:widowControl w:val="0"/>
        <w:tabs defTabSz="708">
          <w:tab w:val="right" w:pos="7710" w:leader="none"/>
          <w:tab w:val="right" w:pos="11514" w:leader="none"/>
        </w:tabs>
        <w:rPr>
          <w:rFonts w:ascii="Pragmatica-Book" w:hAnsi="Pragmatica-Book" w:eastAsia="Times New Roman" w:cs="Pragmatica-Book"/>
          <w:color w:val="000000"/>
          <w:w w:val="90"/>
          <w:sz w:val="18"/>
          <w:szCs w:val="18"/>
          <w:lang w:val="uk-ua" w:eastAsia="uk-ua"/>
        </w:rPr>
      </w:pPr>
      <w:r>
        <w:rPr>
          <w:rFonts w:ascii="Pragmatica-Book" w:hAnsi="Pragmatica-Book" w:eastAsia="Times New Roman" w:cs="Pragmatica-Book"/>
          <w:color w:val="000000"/>
          <w:w w:val="90"/>
          <w:sz w:val="18"/>
          <w:szCs w:val="18"/>
          <w:lang w:val="uk-ua"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32"/>
          <w:footerReference w:type="default" r:id="rId33"/>
          <w:type w:val="nextPage"/>
          <w:pgSz w:h="11906" w:w="16838" w:orient="landscape"/>
          <w:pgMar w:left="363" w:top="567" w:right="363" w:bottom="567"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spacing w:after="0" w:line="257" w:lineRule="auto"/>
        <w:suppressAutoHyphens/>
        <w:hyphenationLines w:val="0"/>
        <w:keepNext/>
        <w:keepLines/>
        <w:widowControl w:val="0"/>
        <w:tabs defTabSz="708">
          <w:tab w:val="right" w:pos="771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Частина 11. Інформація про винагороду членів виконавчого органу та/або ради особи</w:t>
      </w:r>
    </w:p>
    <w:p>
      <w:pPr>
        <w:spacing w:after="0"/>
        <w:rPr>
          <w:rFonts w:ascii="Times New Roman" w:hAnsi="Times New Roman"/>
          <w:sz w:val="20"/>
          <w:szCs w:val="20"/>
          <w:lang w:val="uk-ua"/>
        </w:rPr>
      </w:pPr>
      <w:r>
        <w:rPr>
          <w:rFonts w:ascii="Times New Roman" w:hAnsi="Times New Roman"/>
          <w:sz w:val="20"/>
          <w:szCs w:val="20"/>
          <w:lang w:val="uk-ua"/>
        </w:rPr>
      </w:r>
    </w:p>
    <w:tbl>
      <w:tblPr>
        <w:tblStyle w:val="2"/>
        <w:name w:val="Таблица44"/>
        <w:tabOrder w:val="0"/>
        <w:jc w:val="left"/>
        <w:tblInd w:w="0" w:type="dxa"/>
        <w:tblW w:w="9912" w:type="dxa"/>
        <w:tblLook w:val="04A0" w:firstRow="1" w:lastRow="0" w:firstColumn="1" w:lastColumn="0" w:noHBand="0" w:noVBand="1"/>
      </w:tblPr>
      <w:tblGrid>
        <w:gridCol w:w="4956"/>
        <w:gridCol w:w="4956"/>
      </w:tblGrid>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 xml:space="preserve">Орган управління </w:t>
            </w:r>
          </w:p>
        </w:tc>
        <w:tc>
          <w:tcPr>
            <w:tcW w:w="4956" w:type="dxa"/>
            <w:vAlign w:val="center"/>
            <w:tmTcPr id="1759223788" protected="0"/>
          </w:tcPr>
          <w:p>
            <w:pPr>
              <w:spacing/>
              <w:jc w:val="center"/>
              <w:rPr>
                <w:rFonts w:ascii="Times New Roman" w:hAnsi="Times New Roman"/>
                <w:lang w:val="uk-ua"/>
              </w:rPr>
            </w:pPr>
            <w:r>
              <w:rPr>
                <w:rFonts w:ascii="Times New Roman" w:hAnsi="Times New Roman"/>
                <w:lang w:val="uk-ua"/>
              </w:rPr>
              <w:t>Рада</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 xml:space="preserve">Ім'я члена виконавчого органу/ради особи </w:t>
            </w:r>
          </w:p>
        </w:tc>
        <w:tc>
          <w:tcPr>
            <w:tcW w:w="4956" w:type="dxa"/>
            <w:vAlign w:val="center"/>
            <w:tmTcPr id="1759223788" protected="0"/>
          </w:tcPr>
          <w:p>
            <w:pPr>
              <w:rPr>
                <w:rFonts w:ascii="Times New Roman" w:hAnsi="Times New Roman"/>
                <w:lang w:val="uk-ua"/>
              </w:rPr>
            </w:pPr>
            <w:r>
              <w:rPr>
                <w:rFonts w:ascii="Times New Roman" w:hAnsi="Times New Roman"/>
                <w:lang w:val="uk-ua"/>
              </w:rPr>
              <w:t>Лобов Сергій  Вікторович</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РНОКПП</w:t>
            </w:r>
          </w:p>
        </w:tc>
        <w:tc>
          <w:tcPr>
            <w:tcW w:w="4956" w:type="dxa"/>
            <w:vAlign w:val="center"/>
            <w:tmTcPr id="1759223788" protected="0"/>
          </w:tcPr>
          <w:p>
            <w:pPr>
              <w:spacing/>
              <w:jc w:val="center"/>
              <w:rPr>
                <w:rFonts w:ascii="Times New Roman" w:hAnsi="Times New Roman"/>
                <w:lang w:val="uk-ua"/>
              </w:rPr>
            </w:pPr>
            <w:r>
              <w:rPr>
                <w:rFonts w:ascii="Times New Roman" w:hAnsi="Times New Roman"/>
                <w:lang w:val="uk-ua"/>
              </w:rPr>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УНЗР</w:t>
            </w:r>
          </w:p>
        </w:tc>
        <w:tc>
          <w:tcPr>
            <w:tcW w:w="4956" w:type="dxa"/>
            <w:vAlign w:val="center"/>
            <w:tmTcPr id="1759223788" protected="0"/>
          </w:tcPr>
          <w:p>
            <w:pPr>
              <w:spacing/>
              <w:jc w:val="center"/>
              <w:rPr>
                <w:rFonts w:ascii="Times New Roman" w:hAnsi="Times New Roman"/>
                <w:lang w:val="uk-ua"/>
              </w:rPr>
            </w:pPr>
            <w:r>
              <w:rPr>
                <w:rFonts w:ascii="Times New Roman" w:hAnsi="Times New Roman"/>
                <w:lang w:val="uk-ua"/>
              </w:rPr>
              <w:t xml:space="preserve">              </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Посада</w:t>
            </w:r>
          </w:p>
        </w:tc>
        <w:tc>
          <w:tcPr>
            <w:tcW w:w="4956" w:type="dxa"/>
            <w:vAlign w:val="center"/>
            <w:tmTcPr id="1759223788" protected="0"/>
          </w:tcPr>
          <w:p>
            <w:pPr>
              <w:rPr>
                <w:rFonts w:ascii="Times New Roman" w:hAnsi="Times New Roman"/>
                <w:lang w:val="uk-ua"/>
              </w:rPr>
            </w:pPr>
            <w:r>
              <w:rPr>
                <w:rFonts w:ascii="Times New Roman" w:hAnsi="Times New Roman"/>
                <w:lang w:val="uk-ua"/>
              </w:rPr>
              <w:t xml:space="preserve">Голова Наглядової ради                                                                                                                                                                                                                                        </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Дата вступу на посаду</w:t>
            </w:r>
          </w:p>
        </w:tc>
        <w:tc>
          <w:tcPr>
            <w:tcW w:w="4956" w:type="dxa"/>
            <w:vAlign w:val="center"/>
            <w:tmTcPr id="1759223788" protected="0"/>
          </w:tcPr>
          <w:p>
            <w:pPr>
              <w:spacing/>
              <w:jc w:val="center"/>
              <w:rPr>
                <w:rFonts w:ascii="Times New Roman" w:hAnsi="Times New Roman"/>
                <w:lang w:val="uk-ua"/>
              </w:rPr>
            </w:pPr>
            <w:r>
              <w:rPr>
                <w:rFonts w:ascii="Times New Roman" w:hAnsi="Times New Roman"/>
                <w:lang w:val="uk-ua"/>
              </w:rPr>
              <w:t>11.04.2017</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4956" w:type="dxa"/>
            <w:vAlign w:val="center"/>
            <w:tmTcPr id="1759223788" protected="0"/>
          </w:tcPr>
          <w:p>
            <w:pPr>
              <w:rPr>
                <w:rFonts w:ascii="Times New Roman" w:hAnsi="Times New Roman"/>
                <w:lang w:val="uk-ua"/>
              </w:rPr>
            </w:pPr>
            <w:r>
              <w:rPr>
                <w:rFonts w:ascii="Times New Roman" w:hAnsi="Times New Roman"/>
                <w:lang w:val="uk-ua"/>
              </w:rPr>
              <w:t>Виплатили : 3</w:t>
            </w:r>
          </w:p>
          <w:p>
            <w:pPr>
              <w:rPr>
                <w:rFonts w:ascii="Times New Roman" w:hAnsi="Times New Roman"/>
                <w:lang w:val="uk-ua"/>
              </w:rPr>
            </w:pPr>
            <w:r>
              <w:rPr>
                <w:rFonts w:ascii="Times New Roman" w:hAnsi="Times New Roman"/>
                <w:lang w:val="uk-ua"/>
              </w:rPr>
              <w:t>Мають виплатити : 0</w:t>
            </w:r>
          </w:p>
          <w:p>
            <w:pPr>
              <w:rPr>
                <w:rFonts w:ascii="Times New Roman" w:hAnsi="Times New Roman"/>
                <w:lang w:val="uk-ua"/>
              </w:rPr>
            </w:pPr>
            <w:r>
              <w:rPr>
                <w:rFonts w:ascii="Times New Roman" w:hAnsi="Times New Roman"/>
                <w:lang w:val="uk-ua"/>
              </w:rPr>
              <w:t>Прийнято рішення про виплату : 0</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4956" w:type="dxa"/>
            <w:vAlign w:val="center"/>
            <w:tmTcPr id="1759223788" protected="0"/>
          </w:tcPr>
          <w:p>
            <w:pPr>
              <w:rPr>
                <w:rFonts w:ascii="Times New Roman" w:hAnsi="Times New Roman"/>
                <w:lang w:val="uk-ua"/>
              </w:rPr>
            </w:pPr>
            <w:r>
              <w:rPr>
                <w:rFonts w:ascii="Times New Roman" w:hAnsi="Times New Roman"/>
                <w:lang w:val="uk-ua"/>
              </w:rPr>
              <w:t xml:space="preserve">Виплатили : </w:t>
            </w:r>
          </w:p>
          <w:p>
            <w:pPr>
              <w:rPr>
                <w:rFonts w:ascii="Times New Roman" w:hAnsi="Times New Roman"/>
                <w:lang w:val="uk-ua"/>
              </w:rPr>
            </w:pPr>
            <w:r>
              <w:rPr>
                <w:rFonts w:ascii="Times New Roman" w:hAnsi="Times New Roman"/>
                <w:lang w:val="uk-ua"/>
              </w:rPr>
              <w:t xml:space="preserve">Мають виплатити : </w:t>
            </w:r>
          </w:p>
          <w:p>
            <w:pPr>
              <w:rPr>
                <w:rFonts w:ascii="Times New Roman" w:hAnsi="Times New Roman"/>
                <w:lang w:val="uk-ua"/>
              </w:rPr>
            </w:pPr>
            <w:r>
              <w:rPr>
                <w:rFonts w:ascii="Times New Roman" w:hAnsi="Times New Roman"/>
                <w:lang w:val="uk-ua"/>
              </w:rPr>
              <w:t xml:space="preserve">Прийнято рішення про виплату : </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4956" w:type="dxa"/>
            <w:vAlign w:val="center"/>
            <w:tmTcPr id="1759223788" protected="0"/>
          </w:tcPr>
          <w:p>
            <w:pPr>
              <w:rPr>
                <w:rFonts w:ascii="Times New Roman" w:hAnsi="Times New Roman"/>
                <w:lang w:val="uk-ua"/>
              </w:rPr>
            </w:pPr>
            <w:r>
              <w:rPr>
                <w:rFonts w:ascii="Times New Roman" w:hAnsi="Times New Roman"/>
                <w:lang w:val="uk-ua"/>
              </w:rPr>
              <w:t>Виплатили : 0</w:t>
            </w:r>
          </w:p>
          <w:p>
            <w:pPr>
              <w:rPr>
                <w:rFonts w:ascii="Times New Roman" w:hAnsi="Times New Roman"/>
                <w:lang w:val="uk-ua"/>
              </w:rPr>
            </w:pPr>
            <w:r>
              <w:rPr>
                <w:rFonts w:ascii="Times New Roman" w:hAnsi="Times New Roman"/>
                <w:lang w:val="uk-ua"/>
              </w:rPr>
              <w:t>Мають виплатити : 0</w:t>
            </w:r>
          </w:p>
          <w:p>
            <w:pPr>
              <w:rPr>
                <w:rFonts w:ascii="Times New Roman" w:hAnsi="Times New Roman"/>
                <w:lang w:val="uk-ua"/>
              </w:rPr>
            </w:pPr>
            <w:r>
              <w:rPr>
                <w:rFonts w:ascii="Times New Roman" w:hAnsi="Times New Roman"/>
                <w:lang w:val="uk-ua"/>
              </w:rPr>
              <w:t>Прийнято рішення про виплату : 0</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4956" w:type="dxa"/>
            <w:vAlign w:val="center"/>
            <w:tmTcPr id="1759223788" protected="0"/>
          </w:tcPr>
          <w:p>
            <w:pPr>
              <w:rPr>
                <w:rFonts w:ascii="Times New Roman" w:hAnsi="Times New Roman"/>
                <w:lang w:val="uk-ua"/>
              </w:rPr>
            </w:pPr>
            <w:r>
              <w:rPr>
                <w:rFonts w:ascii="Times New Roman" w:hAnsi="Times New Roman"/>
                <w:lang w:val="uk-ua"/>
              </w:rPr>
              <w:t>Виплатили : 0</w:t>
            </w:r>
          </w:p>
          <w:p>
            <w:pPr>
              <w:rPr>
                <w:rFonts w:ascii="Times New Roman" w:hAnsi="Times New Roman"/>
                <w:lang w:val="uk-ua"/>
              </w:rPr>
            </w:pPr>
            <w:r>
              <w:rPr>
                <w:rFonts w:ascii="Times New Roman" w:hAnsi="Times New Roman"/>
                <w:lang w:val="uk-ua"/>
              </w:rPr>
              <w:t>Мають виплатити : 0</w:t>
            </w:r>
          </w:p>
          <w:p>
            <w:pPr>
              <w:rPr>
                <w:rFonts w:ascii="Times New Roman" w:hAnsi="Times New Roman"/>
                <w:lang w:val="uk-ua"/>
              </w:rPr>
            </w:pPr>
            <w:r>
              <w:rPr>
                <w:rFonts w:ascii="Times New Roman" w:hAnsi="Times New Roman"/>
                <w:lang w:val="uk-ua"/>
              </w:rPr>
              <w:t>Прийнято рішення про виплату : 0</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Критерії оцінки ефективності, за якими нараховували змінну частину винагороди</w:t>
            </w:r>
          </w:p>
        </w:tc>
        <w:tc>
          <w:tcPr>
            <w:tcW w:w="4956" w:type="dxa"/>
            <w:vAlign w:val="center"/>
            <w:tmTcPr id="1759223788" protected="0"/>
          </w:tcPr>
          <w:p>
            <w:pPr>
              <w:rPr>
                <w:rFonts w:ascii="Times New Roman" w:hAnsi="Times New Roman"/>
                <w:lang w:val="uk-ua"/>
              </w:rPr>
            </w:pPr>
            <w:r>
              <w:rPr>
                <w:rFonts w:ascii="Times New Roman" w:hAnsi="Times New Roman"/>
                <w:lang w:val="uk-ua"/>
              </w:rPr>
              <w:t>Члени наглядової ради працюють на безоплатнiй основi.</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Інформація про винагороду або ж компенсації, які мають бути виплачені у разі звільнення</w:t>
            </w:r>
          </w:p>
        </w:tc>
        <w:tc>
          <w:tcPr>
            <w:tcW w:w="4956" w:type="dxa"/>
            <w:vAlign w:val="center"/>
            <w:tmTcPr id="1759223788" protected="0"/>
          </w:tcPr>
          <w:p>
            <w:pPr>
              <w:rPr>
                <w:rFonts w:ascii="Times New Roman" w:hAnsi="Times New Roman"/>
                <w:lang w:val="uk-ua"/>
              </w:rPr>
            </w:pPr>
            <w:r>
              <w:rPr>
                <w:rFonts w:ascii="Times New Roman" w:hAnsi="Times New Roman"/>
                <w:lang w:val="uk-ua"/>
              </w:rPr>
              <w:t>Члени наглядової ради працюють на безоплатнiй основi</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URL-адреса вебсайту особи, за якою розміщено звіт про винагороду</w:t>
            </w:r>
          </w:p>
        </w:tc>
        <w:tc>
          <w:tcPr>
            <w:tcW w:w="4956" w:type="dxa"/>
            <w:vAlign w:val="center"/>
            <w:tmTcPr id="1759223788" protected="0"/>
          </w:tcPr>
          <w:p>
            <w:pPr>
              <w:rPr>
                <w:rFonts w:ascii="Times New Roman" w:hAnsi="Times New Roman"/>
                <w:lang w:val="uk-ua"/>
              </w:rPr>
            </w:pPr>
            <w:r>
              <w:rPr>
                <w:rFonts w:ascii="Times New Roman" w:hAnsi="Times New Roman"/>
                <w:lang w:val="uk-ua"/>
              </w:rPr>
            </w:r>
          </w:p>
        </w:tc>
      </w:tr>
    </w:tbl>
    <w:p>
      <w:pPr>
        <w:spacing w:after="0"/>
        <w:rPr>
          <w:rFonts w:ascii="Times New Roman" w:hAnsi="Times New Roman"/>
          <w:b/>
          <w:sz w:val="20"/>
          <w:szCs w:val="20"/>
          <w:lang w:val="uk-ua"/>
        </w:rPr>
      </w:pPr>
      <w:r>
        <w:rPr>
          <w:rFonts w:ascii="Times New Roman" w:hAnsi="Times New Roman"/>
          <w:b/>
          <w:sz w:val="20"/>
          <w:szCs w:val="20"/>
          <w:lang w:val="uk-ua"/>
        </w:rPr>
        <w:t>Співвідношення середнього розміру винагороди члена виконавчого органу/ради із середнім розміром винагороди працівників особи : 0</w:t>
      </w:r>
    </w:p>
    <w:p>
      <w:pPr>
        <w:spacing w:after="0"/>
        <w:rPr>
          <w:rFonts w:ascii="Times New Roman" w:hAnsi="Times New Roman"/>
          <w:b/>
          <w:sz w:val="20"/>
          <w:szCs w:val="20"/>
          <w:lang w:val="uk-ua"/>
        </w:rPr>
      </w:pPr>
      <w:r>
        <w:rPr>
          <w:rFonts w:ascii="Times New Roman" w:hAnsi="Times New Roman"/>
          <w:b/>
          <w:sz w:val="20"/>
          <w:szCs w:val="20"/>
          <w:lang w:val="uk-ua"/>
        </w:rPr>
      </w:r>
    </w:p>
    <w:tbl>
      <w:tblPr>
        <w:tblStyle w:val="2"/>
        <w:name w:val="Таблица45"/>
        <w:tabOrder w:val="0"/>
        <w:jc w:val="left"/>
        <w:tblInd w:w="0" w:type="dxa"/>
        <w:tblW w:w="9912" w:type="dxa"/>
        <w:tblLook w:val="04A0" w:firstRow="1" w:lastRow="0" w:firstColumn="1" w:lastColumn="0" w:noHBand="0" w:noVBand="1"/>
      </w:tblPr>
      <w:tblGrid>
        <w:gridCol w:w="4956"/>
        <w:gridCol w:w="4956"/>
      </w:tblGrid>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 xml:space="preserve">Орган управління </w:t>
            </w:r>
          </w:p>
        </w:tc>
        <w:tc>
          <w:tcPr>
            <w:tcW w:w="4956" w:type="dxa"/>
            <w:vAlign w:val="center"/>
            <w:tmTcPr id="1759223788" protected="0"/>
          </w:tcPr>
          <w:p>
            <w:pPr>
              <w:spacing/>
              <w:jc w:val="center"/>
              <w:rPr>
                <w:rFonts w:ascii="Times New Roman" w:hAnsi="Times New Roman"/>
                <w:lang w:val="uk-ua"/>
              </w:rPr>
            </w:pPr>
            <w:r>
              <w:rPr>
                <w:rFonts w:ascii="Times New Roman" w:hAnsi="Times New Roman"/>
                <w:lang w:val="uk-ua"/>
              </w:rPr>
              <w:t>Рада</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 xml:space="preserve">Ім'я члена виконавчого органу/ради особи </w:t>
            </w:r>
          </w:p>
        </w:tc>
        <w:tc>
          <w:tcPr>
            <w:tcW w:w="4956" w:type="dxa"/>
            <w:vAlign w:val="center"/>
            <w:tmTcPr id="1759223788" protected="0"/>
          </w:tcPr>
          <w:p>
            <w:pPr>
              <w:rPr>
                <w:rFonts w:ascii="Times New Roman" w:hAnsi="Times New Roman"/>
                <w:lang w:val="uk-ua"/>
              </w:rPr>
            </w:pPr>
            <w:r>
              <w:rPr>
                <w:rFonts w:ascii="Times New Roman" w:hAnsi="Times New Roman"/>
                <w:lang w:val="uk-ua"/>
              </w:rPr>
              <w:t>Іванов Олексій Миколайович</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РНОКПП</w:t>
            </w:r>
          </w:p>
        </w:tc>
        <w:tc>
          <w:tcPr>
            <w:tcW w:w="4956" w:type="dxa"/>
            <w:vAlign w:val="center"/>
            <w:tmTcPr id="1759223788" protected="0"/>
          </w:tcPr>
          <w:p>
            <w:pPr>
              <w:spacing/>
              <w:jc w:val="center"/>
              <w:rPr>
                <w:rFonts w:ascii="Times New Roman" w:hAnsi="Times New Roman"/>
                <w:lang w:val="uk-ua"/>
              </w:rPr>
            </w:pPr>
            <w:r>
              <w:rPr>
                <w:rFonts w:ascii="Times New Roman" w:hAnsi="Times New Roman"/>
                <w:lang w:val="uk-ua"/>
              </w:rPr>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УНЗР</w:t>
            </w:r>
          </w:p>
        </w:tc>
        <w:tc>
          <w:tcPr>
            <w:tcW w:w="4956" w:type="dxa"/>
            <w:vAlign w:val="center"/>
            <w:tmTcPr id="1759223788" protected="0"/>
          </w:tcPr>
          <w:p>
            <w:pPr>
              <w:spacing/>
              <w:jc w:val="center"/>
              <w:rPr>
                <w:rFonts w:ascii="Times New Roman" w:hAnsi="Times New Roman"/>
                <w:lang w:val="uk-ua"/>
              </w:rPr>
            </w:pPr>
            <w:r>
              <w:rPr>
                <w:rFonts w:ascii="Times New Roman" w:hAnsi="Times New Roman"/>
                <w:lang w:val="uk-ua"/>
              </w:rPr>
              <w:t xml:space="preserve">              </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Посада</w:t>
            </w:r>
          </w:p>
        </w:tc>
        <w:tc>
          <w:tcPr>
            <w:tcW w:w="4956" w:type="dxa"/>
            <w:vAlign w:val="center"/>
            <w:tmTcPr id="1759223788" protected="0"/>
          </w:tcPr>
          <w:p>
            <w:pPr>
              <w:rPr>
                <w:rFonts w:ascii="Times New Roman" w:hAnsi="Times New Roman"/>
                <w:lang w:val="uk-ua"/>
              </w:rPr>
            </w:pPr>
            <w:r>
              <w:rPr>
                <w:rFonts w:ascii="Times New Roman" w:hAnsi="Times New Roman"/>
                <w:lang w:val="uk-ua"/>
              </w:rPr>
              <w:t xml:space="preserve">Член Наглядової ради.                                                                                                                                                                                                                                         </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Дата вступу на посаду</w:t>
            </w:r>
          </w:p>
        </w:tc>
        <w:tc>
          <w:tcPr>
            <w:tcW w:w="4956" w:type="dxa"/>
            <w:vAlign w:val="center"/>
            <w:tmTcPr id="1759223788" protected="0"/>
          </w:tcPr>
          <w:p>
            <w:pPr>
              <w:spacing/>
              <w:jc w:val="center"/>
              <w:rPr>
                <w:rFonts w:ascii="Times New Roman" w:hAnsi="Times New Roman"/>
                <w:lang w:val="uk-ua"/>
              </w:rPr>
            </w:pPr>
            <w:r>
              <w:rPr>
                <w:rFonts w:ascii="Times New Roman" w:hAnsi="Times New Roman"/>
                <w:lang w:val="uk-ua"/>
              </w:rPr>
              <w:t>04.05.2023</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4956" w:type="dxa"/>
            <w:vAlign w:val="center"/>
            <w:tmTcPr id="1759223788" protected="0"/>
          </w:tcPr>
          <w:p>
            <w:pPr>
              <w:rPr>
                <w:rFonts w:ascii="Times New Roman" w:hAnsi="Times New Roman"/>
                <w:lang w:val="uk-ua"/>
              </w:rPr>
            </w:pPr>
            <w:r>
              <w:rPr>
                <w:rFonts w:ascii="Times New Roman" w:hAnsi="Times New Roman"/>
                <w:lang w:val="uk-ua"/>
              </w:rPr>
              <w:t>Виплатили : 0</w:t>
            </w:r>
          </w:p>
          <w:p>
            <w:pPr>
              <w:rPr>
                <w:rFonts w:ascii="Times New Roman" w:hAnsi="Times New Roman"/>
                <w:lang w:val="uk-ua"/>
              </w:rPr>
            </w:pPr>
            <w:r>
              <w:rPr>
                <w:rFonts w:ascii="Times New Roman" w:hAnsi="Times New Roman"/>
                <w:lang w:val="uk-ua"/>
              </w:rPr>
              <w:t>Мають виплатити : 0</w:t>
            </w:r>
          </w:p>
          <w:p>
            <w:pPr>
              <w:rPr>
                <w:rFonts w:ascii="Times New Roman" w:hAnsi="Times New Roman"/>
                <w:lang w:val="uk-ua"/>
              </w:rPr>
            </w:pPr>
            <w:r>
              <w:rPr>
                <w:rFonts w:ascii="Times New Roman" w:hAnsi="Times New Roman"/>
                <w:lang w:val="uk-ua"/>
              </w:rPr>
              <w:t>Прийнято рішення про виплату : 0</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4956" w:type="dxa"/>
            <w:vAlign w:val="center"/>
            <w:tmTcPr id="1759223788" protected="0"/>
          </w:tcPr>
          <w:p>
            <w:pPr>
              <w:rPr>
                <w:rFonts w:ascii="Times New Roman" w:hAnsi="Times New Roman"/>
                <w:lang w:val="uk-ua"/>
              </w:rPr>
            </w:pPr>
            <w:r>
              <w:rPr>
                <w:rFonts w:ascii="Times New Roman" w:hAnsi="Times New Roman"/>
                <w:lang w:val="uk-ua"/>
              </w:rPr>
              <w:t xml:space="preserve">Виплатили : </w:t>
            </w:r>
          </w:p>
          <w:p>
            <w:pPr>
              <w:rPr>
                <w:rFonts w:ascii="Times New Roman" w:hAnsi="Times New Roman"/>
                <w:lang w:val="uk-ua"/>
              </w:rPr>
            </w:pPr>
            <w:r>
              <w:rPr>
                <w:rFonts w:ascii="Times New Roman" w:hAnsi="Times New Roman"/>
                <w:lang w:val="uk-ua"/>
              </w:rPr>
              <w:t xml:space="preserve">Мають виплатити : </w:t>
            </w:r>
          </w:p>
          <w:p>
            <w:pPr>
              <w:rPr>
                <w:rFonts w:ascii="Times New Roman" w:hAnsi="Times New Roman"/>
                <w:lang w:val="uk-ua"/>
              </w:rPr>
            </w:pPr>
            <w:r>
              <w:rPr>
                <w:rFonts w:ascii="Times New Roman" w:hAnsi="Times New Roman"/>
                <w:lang w:val="uk-ua"/>
              </w:rPr>
              <w:t xml:space="preserve">Прийнято рішення про виплату : </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4956" w:type="dxa"/>
            <w:vAlign w:val="center"/>
            <w:tmTcPr id="1759223788" protected="0"/>
          </w:tcPr>
          <w:p>
            <w:pPr>
              <w:rPr>
                <w:rFonts w:ascii="Times New Roman" w:hAnsi="Times New Roman"/>
                <w:lang w:val="uk-ua"/>
              </w:rPr>
            </w:pPr>
            <w:r>
              <w:rPr>
                <w:rFonts w:ascii="Times New Roman" w:hAnsi="Times New Roman"/>
                <w:lang w:val="uk-ua"/>
              </w:rPr>
              <w:t>Виплатили : 0</w:t>
            </w:r>
          </w:p>
          <w:p>
            <w:pPr>
              <w:rPr>
                <w:rFonts w:ascii="Times New Roman" w:hAnsi="Times New Roman"/>
                <w:lang w:val="uk-ua"/>
              </w:rPr>
            </w:pPr>
            <w:r>
              <w:rPr>
                <w:rFonts w:ascii="Times New Roman" w:hAnsi="Times New Roman"/>
                <w:lang w:val="uk-ua"/>
              </w:rPr>
              <w:t>Мають виплатити : 0</w:t>
            </w:r>
          </w:p>
          <w:p>
            <w:pPr>
              <w:rPr>
                <w:rFonts w:ascii="Times New Roman" w:hAnsi="Times New Roman"/>
                <w:lang w:val="uk-ua"/>
              </w:rPr>
            </w:pPr>
            <w:r>
              <w:rPr>
                <w:rFonts w:ascii="Times New Roman" w:hAnsi="Times New Roman"/>
                <w:lang w:val="uk-ua"/>
              </w:rPr>
              <w:t>Прийнято рішення про виплату : 0</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4956" w:type="dxa"/>
            <w:vAlign w:val="center"/>
            <w:tmTcPr id="1759223788" protected="0"/>
          </w:tcPr>
          <w:p>
            <w:pPr>
              <w:rPr>
                <w:rFonts w:ascii="Times New Roman" w:hAnsi="Times New Roman"/>
                <w:lang w:val="uk-ua"/>
              </w:rPr>
            </w:pPr>
            <w:r>
              <w:rPr>
                <w:rFonts w:ascii="Times New Roman" w:hAnsi="Times New Roman"/>
                <w:lang w:val="uk-ua"/>
              </w:rPr>
              <w:t>Виплатили : 0</w:t>
            </w:r>
          </w:p>
          <w:p>
            <w:pPr>
              <w:rPr>
                <w:rFonts w:ascii="Times New Roman" w:hAnsi="Times New Roman"/>
                <w:lang w:val="uk-ua"/>
              </w:rPr>
            </w:pPr>
            <w:r>
              <w:rPr>
                <w:rFonts w:ascii="Times New Roman" w:hAnsi="Times New Roman"/>
                <w:lang w:val="uk-ua"/>
              </w:rPr>
              <w:t>Мають виплатити : 0</w:t>
            </w:r>
          </w:p>
          <w:p>
            <w:pPr>
              <w:rPr>
                <w:rFonts w:ascii="Times New Roman" w:hAnsi="Times New Roman"/>
                <w:lang w:val="uk-ua"/>
              </w:rPr>
            </w:pPr>
            <w:r>
              <w:rPr>
                <w:rFonts w:ascii="Times New Roman" w:hAnsi="Times New Roman"/>
                <w:lang w:val="uk-ua"/>
              </w:rPr>
              <w:t>Прийнято рішення про виплату : 0</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Критерії оцінки ефективності, за якими нараховували змінну частину винагороди</w:t>
            </w:r>
          </w:p>
        </w:tc>
        <w:tc>
          <w:tcPr>
            <w:tcW w:w="4956" w:type="dxa"/>
            <w:vAlign w:val="center"/>
            <w:tmTcPr id="1759223788" protected="0"/>
          </w:tcPr>
          <w:p>
            <w:pPr>
              <w:rPr>
                <w:rFonts w:ascii="Times New Roman" w:hAnsi="Times New Roman"/>
                <w:lang w:val="uk-ua"/>
              </w:rPr>
            </w:pPr>
            <w:r>
              <w:rPr>
                <w:rFonts w:ascii="Times New Roman" w:hAnsi="Times New Roman"/>
                <w:lang w:val="uk-ua"/>
              </w:rPr>
              <w:t>Члени наглядової ради працюють на безоплатнiй основi</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Інформація про винагороду або ж компенсації, які мають бути виплачені у разі звільнення</w:t>
            </w:r>
          </w:p>
        </w:tc>
        <w:tc>
          <w:tcPr>
            <w:tcW w:w="4956" w:type="dxa"/>
            <w:vAlign w:val="center"/>
            <w:tmTcPr id="1759223788" protected="0"/>
          </w:tcPr>
          <w:p>
            <w:pPr>
              <w:rPr>
                <w:rFonts w:ascii="Times New Roman" w:hAnsi="Times New Roman"/>
                <w:lang w:val="uk-ua"/>
              </w:rPr>
            </w:pPr>
            <w:r>
              <w:rPr>
                <w:rFonts w:ascii="Times New Roman" w:hAnsi="Times New Roman"/>
                <w:lang w:val="uk-ua"/>
              </w:rPr>
              <w:t>Члени наглядової ради працюють на безоплатнiй основi</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URL-адреса вебсайту особи, за якою розміщено звіт про винагороду</w:t>
            </w:r>
          </w:p>
        </w:tc>
        <w:tc>
          <w:tcPr>
            <w:tcW w:w="4956" w:type="dxa"/>
            <w:vAlign w:val="center"/>
            <w:tmTcPr id="1759223788" protected="0"/>
          </w:tcPr>
          <w:p>
            <w:pPr>
              <w:rPr>
                <w:rFonts w:ascii="Times New Roman" w:hAnsi="Times New Roman"/>
                <w:lang w:val="uk-ua"/>
              </w:rPr>
            </w:pPr>
            <w:r>
              <w:rPr>
                <w:rFonts w:ascii="Times New Roman" w:hAnsi="Times New Roman"/>
                <w:lang w:val="uk-ua"/>
              </w:rPr>
            </w:r>
          </w:p>
        </w:tc>
      </w:tr>
    </w:tbl>
    <w:p>
      <w:pPr>
        <w:spacing w:after="0"/>
        <w:rPr>
          <w:rFonts w:ascii="Times New Roman" w:hAnsi="Times New Roman"/>
          <w:b/>
          <w:sz w:val="20"/>
          <w:szCs w:val="20"/>
          <w:lang w:val="uk-ua"/>
        </w:rPr>
      </w:pPr>
      <w:r>
        <w:rPr>
          <w:rFonts w:ascii="Times New Roman" w:hAnsi="Times New Roman"/>
          <w:b/>
          <w:sz w:val="20"/>
          <w:szCs w:val="20"/>
          <w:lang w:val="uk-ua"/>
        </w:rPr>
        <w:t>Співвідношення середнього розміру винагороди члена виконавчого органу/ради із середнім розміром винагороди працівників особи : 0</w:t>
      </w:r>
    </w:p>
    <w:p>
      <w:pPr>
        <w:spacing w:after="0"/>
        <w:rPr>
          <w:rFonts w:ascii="Times New Roman" w:hAnsi="Times New Roman"/>
          <w:b/>
          <w:sz w:val="20"/>
          <w:szCs w:val="20"/>
          <w:lang w:val="uk-ua"/>
        </w:rPr>
      </w:pPr>
      <w:r>
        <w:rPr>
          <w:rFonts w:ascii="Times New Roman" w:hAnsi="Times New Roman"/>
          <w:b/>
          <w:sz w:val="20"/>
          <w:szCs w:val="20"/>
          <w:lang w:val="uk-ua"/>
        </w:rPr>
      </w:r>
    </w:p>
    <w:tbl>
      <w:tblPr>
        <w:tblStyle w:val="2"/>
        <w:name w:val="Таблица46"/>
        <w:tabOrder w:val="0"/>
        <w:jc w:val="left"/>
        <w:tblInd w:w="0" w:type="dxa"/>
        <w:tblW w:w="9912" w:type="dxa"/>
        <w:tblLook w:val="04A0" w:firstRow="1" w:lastRow="0" w:firstColumn="1" w:lastColumn="0" w:noHBand="0" w:noVBand="1"/>
      </w:tblPr>
      <w:tblGrid>
        <w:gridCol w:w="4956"/>
        <w:gridCol w:w="4956"/>
      </w:tblGrid>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 xml:space="preserve">Орган управління </w:t>
            </w:r>
          </w:p>
        </w:tc>
        <w:tc>
          <w:tcPr>
            <w:tcW w:w="4956" w:type="dxa"/>
            <w:vAlign w:val="center"/>
            <w:tmTcPr id="1759223788" protected="0"/>
          </w:tcPr>
          <w:p>
            <w:pPr>
              <w:spacing/>
              <w:jc w:val="center"/>
              <w:rPr>
                <w:rFonts w:ascii="Times New Roman" w:hAnsi="Times New Roman"/>
                <w:lang w:val="uk-ua"/>
              </w:rPr>
            </w:pPr>
            <w:r>
              <w:rPr>
                <w:rFonts w:ascii="Times New Roman" w:hAnsi="Times New Roman"/>
                <w:lang w:val="uk-ua"/>
              </w:rPr>
              <w:t>Рада</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 xml:space="preserve">Ім'я члена виконавчого органу/ради особи </w:t>
            </w:r>
          </w:p>
        </w:tc>
        <w:tc>
          <w:tcPr>
            <w:tcW w:w="4956" w:type="dxa"/>
            <w:vAlign w:val="center"/>
            <w:tmTcPr id="1759223788" protected="0"/>
          </w:tcPr>
          <w:p>
            <w:pPr>
              <w:rPr>
                <w:rFonts w:ascii="Times New Roman" w:hAnsi="Times New Roman"/>
                <w:lang w:val="uk-ua"/>
              </w:rPr>
            </w:pPr>
            <w:r>
              <w:rPr>
                <w:rFonts w:ascii="Times New Roman" w:hAnsi="Times New Roman"/>
                <w:lang w:val="uk-ua"/>
              </w:rPr>
              <w:t>ОшурковЕдуард Геннадійович</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РНОКПП</w:t>
            </w:r>
          </w:p>
        </w:tc>
        <w:tc>
          <w:tcPr>
            <w:tcW w:w="4956" w:type="dxa"/>
            <w:vAlign w:val="center"/>
            <w:tmTcPr id="1759223788" protected="0"/>
          </w:tcPr>
          <w:p>
            <w:pPr>
              <w:spacing/>
              <w:jc w:val="center"/>
              <w:rPr>
                <w:rFonts w:ascii="Times New Roman" w:hAnsi="Times New Roman"/>
                <w:lang w:val="uk-ua"/>
              </w:rPr>
            </w:pPr>
            <w:r>
              <w:rPr>
                <w:rFonts w:ascii="Times New Roman" w:hAnsi="Times New Roman"/>
                <w:lang w:val="uk-ua"/>
              </w:rPr>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УНЗР</w:t>
            </w:r>
          </w:p>
        </w:tc>
        <w:tc>
          <w:tcPr>
            <w:tcW w:w="4956" w:type="dxa"/>
            <w:vAlign w:val="center"/>
            <w:tmTcPr id="1759223788" protected="0"/>
          </w:tcPr>
          <w:p>
            <w:pPr>
              <w:spacing/>
              <w:jc w:val="center"/>
              <w:rPr>
                <w:rFonts w:ascii="Times New Roman" w:hAnsi="Times New Roman"/>
                <w:lang w:val="uk-ua"/>
              </w:rPr>
            </w:pPr>
            <w:r>
              <w:rPr>
                <w:rFonts w:ascii="Times New Roman" w:hAnsi="Times New Roman"/>
                <w:lang w:val="uk-ua"/>
              </w:rPr>
              <w:t xml:space="preserve">              </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Посада</w:t>
            </w:r>
          </w:p>
        </w:tc>
        <w:tc>
          <w:tcPr>
            <w:tcW w:w="4956" w:type="dxa"/>
            <w:vAlign w:val="center"/>
            <w:tmTcPr id="1759223788" protected="0"/>
          </w:tcPr>
          <w:p>
            <w:pPr>
              <w:rPr>
                <w:rFonts w:ascii="Times New Roman" w:hAnsi="Times New Roman"/>
                <w:lang w:val="uk-ua"/>
              </w:rPr>
            </w:pPr>
            <w:r>
              <w:rPr>
                <w:rFonts w:ascii="Times New Roman" w:hAnsi="Times New Roman"/>
                <w:lang w:val="uk-ua"/>
              </w:rPr>
              <w:t xml:space="preserve">Член Наглядової ради                                                                                                                                                                                                                                          </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Дата вступу на посаду</w:t>
            </w:r>
          </w:p>
        </w:tc>
        <w:tc>
          <w:tcPr>
            <w:tcW w:w="4956" w:type="dxa"/>
            <w:vAlign w:val="center"/>
            <w:tmTcPr id="1759223788" protected="0"/>
          </w:tcPr>
          <w:p>
            <w:pPr>
              <w:spacing/>
              <w:jc w:val="center"/>
              <w:rPr>
                <w:rFonts w:ascii="Times New Roman" w:hAnsi="Times New Roman"/>
                <w:lang w:val="uk-ua"/>
              </w:rPr>
            </w:pPr>
            <w:r>
              <w:rPr>
                <w:rFonts w:ascii="Times New Roman" w:hAnsi="Times New Roman"/>
                <w:lang w:val="uk-ua"/>
              </w:rPr>
              <w:t>04.05.2023</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4956" w:type="dxa"/>
            <w:vAlign w:val="center"/>
            <w:tmTcPr id="1759223788" protected="0"/>
          </w:tcPr>
          <w:p>
            <w:pPr>
              <w:rPr>
                <w:rFonts w:ascii="Times New Roman" w:hAnsi="Times New Roman"/>
                <w:lang w:val="uk-ua"/>
              </w:rPr>
            </w:pPr>
            <w:r>
              <w:rPr>
                <w:rFonts w:ascii="Times New Roman" w:hAnsi="Times New Roman"/>
                <w:lang w:val="uk-ua"/>
              </w:rPr>
              <w:t>Виплатили : 0</w:t>
            </w:r>
          </w:p>
          <w:p>
            <w:pPr>
              <w:rPr>
                <w:rFonts w:ascii="Times New Roman" w:hAnsi="Times New Roman"/>
                <w:lang w:val="uk-ua"/>
              </w:rPr>
            </w:pPr>
            <w:r>
              <w:rPr>
                <w:rFonts w:ascii="Times New Roman" w:hAnsi="Times New Roman"/>
                <w:lang w:val="uk-ua"/>
              </w:rPr>
              <w:t>Мають виплатити : 0</w:t>
            </w:r>
          </w:p>
          <w:p>
            <w:pPr>
              <w:rPr>
                <w:rFonts w:ascii="Times New Roman" w:hAnsi="Times New Roman"/>
                <w:lang w:val="uk-ua"/>
              </w:rPr>
            </w:pPr>
            <w:r>
              <w:rPr>
                <w:rFonts w:ascii="Times New Roman" w:hAnsi="Times New Roman"/>
                <w:lang w:val="uk-ua"/>
              </w:rPr>
              <w:t>Прийнято рішення про виплату : 0</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4956" w:type="dxa"/>
            <w:vAlign w:val="center"/>
            <w:tmTcPr id="1759223788" protected="0"/>
          </w:tcPr>
          <w:p>
            <w:pPr>
              <w:rPr>
                <w:rFonts w:ascii="Times New Roman" w:hAnsi="Times New Roman"/>
                <w:lang w:val="uk-ua"/>
              </w:rPr>
            </w:pPr>
            <w:r>
              <w:rPr>
                <w:rFonts w:ascii="Times New Roman" w:hAnsi="Times New Roman"/>
                <w:lang w:val="uk-ua"/>
              </w:rPr>
              <w:t xml:space="preserve">Виплатили : </w:t>
            </w:r>
          </w:p>
          <w:p>
            <w:pPr>
              <w:rPr>
                <w:rFonts w:ascii="Times New Roman" w:hAnsi="Times New Roman"/>
                <w:lang w:val="uk-ua"/>
              </w:rPr>
            </w:pPr>
            <w:r>
              <w:rPr>
                <w:rFonts w:ascii="Times New Roman" w:hAnsi="Times New Roman"/>
                <w:lang w:val="uk-ua"/>
              </w:rPr>
              <w:t xml:space="preserve">Мають виплатити : </w:t>
            </w:r>
          </w:p>
          <w:p>
            <w:pPr>
              <w:rPr>
                <w:rFonts w:ascii="Times New Roman" w:hAnsi="Times New Roman"/>
                <w:lang w:val="uk-ua"/>
              </w:rPr>
            </w:pPr>
            <w:r>
              <w:rPr>
                <w:rFonts w:ascii="Times New Roman" w:hAnsi="Times New Roman"/>
                <w:lang w:val="uk-ua"/>
              </w:rPr>
              <w:t xml:space="preserve">Прийнято рішення про виплату : </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4956" w:type="dxa"/>
            <w:vAlign w:val="center"/>
            <w:tmTcPr id="1759223788" protected="0"/>
          </w:tcPr>
          <w:p>
            <w:pPr>
              <w:rPr>
                <w:rFonts w:ascii="Times New Roman" w:hAnsi="Times New Roman"/>
                <w:lang w:val="uk-ua"/>
              </w:rPr>
            </w:pPr>
            <w:r>
              <w:rPr>
                <w:rFonts w:ascii="Times New Roman" w:hAnsi="Times New Roman"/>
                <w:lang w:val="uk-ua"/>
              </w:rPr>
              <w:t>Виплатили : 0</w:t>
            </w:r>
          </w:p>
          <w:p>
            <w:pPr>
              <w:rPr>
                <w:rFonts w:ascii="Times New Roman" w:hAnsi="Times New Roman"/>
                <w:lang w:val="uk-ua"/>
              </w:rPr>
            </w:pPr>
            <w:r>
              <w:rPr>
                <w:rFonts w:ascii="Times New Roman" w:hAnsi="Times New Roman"/>
                <w:lang w:val="uk-ua"/>
              </w:rPr>
              <w:t>Мають виплатити : 0</w:t>
            </w:r>
          </w:p>
          <w:p>
            <w:pPr>
              <w:rPr>
                <w:rFonts w:ascii="Times New Roman" w:hAnsi="Times New Roman"/>
                <w:lang w:val="uk-ua"/>
              </w:rPr>
            </w:pPr>
            <w:r>
              <w:rPr>
                <w:rFonts w:ascii="Times New Roman" w:hAnsi="Times New Roman"/>
                <w:lang w:val="uk-ua"/>
              </w:rPr>
              <w:t>Прийнято рішення про виплату : 0</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4956" w:type="dxa"/>
            <w:vAlign w:val="center"/>
            <w:tmTcPr id="1759223788" protected="0"/>
          </w:tcPr>
          <w:p>
            <w:pPr>
              <w:rPr>
                <w:rFonts w:ascii="Times New Roman" w:hAnsi="Times New Roman"/>
                <w:lang w:val="uk-ua"/>
              </w:rPr>
            </w:pPr>
            <w:r>
              <w:rPr>
                <w:rFonts w:ascii="Times New Roman" w:hAnsi="Times New Roman"/>
                <w:lang w:val="uk-ua"/>
              </w:rPr>
              <w:t>Виплатили : 0</w:t>
            </w:r>
          </w:p>
          <w:p>
            <w:pPr>
              <w:rPr>
                <w:rFonts w:ascii="Times New Roman" w:hAnsi="Times New Roman"/>
                <w:lang w:val="uk-ua"/>
              </w:rPr>
            </w:pPr>
            <w:r>
              <w:rPr>
                <w:rFonts w:ascii="Times New Roman" w:hAnsi="Times New Roman"/>
                <w:lang w:val="uk-ua"/>
              </w:rPr>
              <w:t>Мають виплатити : 0</w:t>
            </w:r>
          </w:p>
          <w:p>
            <w:pPr>
              <w:rPr>
                <w:rFonts w:ascii="Times New Roman" w:hAnsi="Times New Roman"/>
                <w:lang w:val="uk-ua"/>
              </w:rPr>
            </w:pPr>
            <w:r>
              <w:rPr>
                <w:rFonts w:ascii="Times New Roman" w:hAnsi="Times New Roman"/>
                <w:lang w:val="uk-ua"/>
              </w:rPr>
              <w:t>Прийнято рішення про виплату : 0</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Критерії оцінки ефективності, за якими нараховували змінну частину винагороди</w:t>
            </w:r>
          </w:p>
        </w:tc>
        <w:tc>
          <w:tcPr>
            <w:tcW w:w="4956" w:type="dxa"/>
            <w:vAlign w:val="center"/>
            <w:tmTcPr id="1759223788" protected="0"/>
          </w:tcPr>
          <w:p>
            <w:pPr>
              <w:rPr>
                <w:rFonts w:ascii="Times New Roman" w:hAnsi="Times New Roman"/>
                <w:lang w:val="uk-ua"/>
              </w:rPr>
            </w:pPr>
            <w:r>
              <w:rPr>
                <w:rFonts w:ascii="Times New Roman" w:hAnsi="Times New Roman"/>
                <w:lang w:val="uk-ua"/>
              </w:rPr>
              <w:t>Члени наглядової ради працюють на безоплатнiй основi.</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Інформація про винагороду або ж компенсації, які мають бути виплачені у разі звільнення</w:t>
            </w:r>
          </w:p>
        </w:tc>
        <w:tc>
          <w:tcPr>
            <w:tcW w:w="4956" w:type="dxa"/>
            <w:vAlign w:val="center"/>
            <w:tmTcPr id="1759223788" protected="0"/>
          </w:tcPr>
          <w:p>
            <w:pPr>
              <w:rPr>
                <w:rFonts w:ascii="Times New Roman" w:hAnsi="Times New Roman"/>
                <w:lang w:val="uk-ua"/>
              </w:rPr>
            </w:pPr>
            <w:r>
              <w:rPr>
                <w:rFonts w:ascii="Times New Roman" w:hAnsi="Times New Roman"/>
                <w:lang w:val="uk-ua"/>
              </w:rPr>
              <w:t>Члени наглядової ради працюють на безоплатнiй основi.</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URL-адреса вебсайту особи, за якою розміщено звіт про винагороду</w:t>
            </w:r>
          </w:p>
        </w:tc>
        <w:tc>
          <w:tcPr>
            <w:tcW w:w="4956" w:type="dxa"/>
            <w:vAlign w:val="center"/>
            <w:tmTcPr id="1759223788" protected="0"/>
          </w:tcPr>
          <w:p>
            <w:pPr>
              <w:rPr>
                <w:rFonts w:ascii="Times New Roman" w:hAnsi="Times New Roman"/>
                <w:lang w:val="uk-ua"/>
              </w:rPr>
            </w:pPr>
            <w:r>
              <w:rPr>
                <w:rFonts w:ascii="Times New Roman" w:hAnsi="Times New Roman"/>
                <w:lang w:val="uk-ua"/>
              </w:rPr>
            </w:r>
          </w:p>
        </w:tc>
      </w:tr>
    </w:tbl>
    <w:p>
      <w:pPr>
        <w:spacing w:after="0"/>
        <w:rPr>
          <w:rFonts w:ascii="Times New Roman" w:hAnsi="Times New Roman"/>
          <w:b/>
          <w:sz w:val="20"/>
          <w:szCs w:val="20"/>
          <w:lang w:val="uk-ua"/>
        </w:rPr>
      </w:pPr>
      <w:r>
        <w:rPr>
          <w:rFonts w:ascii="Times New Roman" w:hAnsi="Times New Roman"/>
          <w:b/>
          <w:sz w:val="20"/>
          <w:szCs w:val="20"/>
          <w:lang w:val="uk-ua"/>
        </w:rPr>
        <w:t>Співвідношення середнього розміру винагороди члена виконавчого органу/ради із середнім розміром винагороди працівників особи : 0</w:t>
      </w:r>
    </w:p>
    <w:p>
      <w:pPr>
        <w:spacing w:after="0"/>
        <w:rPr>
          <w:rFonts w:ascii="Times New Roman" w:hAnsi="Times New Roman"/>
          <w:b/>
          <w:sz w:val="20"/>
          <w:szCs w:val="20"/>
          <w:lang w:val="uk-ua"/>
        </w:rPr>
      </w:pPr>
      <w:r>
        <w:rPr>
          <w:rFonts w:ascii="Times New Roman" w:hAnsi="Times New Roman"/>
          <w:b/>
          <w:sz w:val="20"/>
          <w:szCs w:val="20"/>
          <w:lang w:val="uk-ua"/>
        </w:rPr>
      </w:r>
    </w:p>
    <w:tbl>
      <w:tblPr>
        <w:tblStyle w:val="2"/>
        <w:name w:val="Таблица47"/>
        <w:tabOrder w:val="0"/>
        <w:jc w:val="left"/>
        <w:tblInd w:w="0" w:type="dxa"/>
        <w:tblW w:w="9912" w:type="dxa"/>
        <w:tblLook w:val="04A0" w:firstRow="1" w:lastRow="0" w:firstColumn="1" w:lastColumn="0" w:noHBand="0" w:noVBand="1"/>
      </w:tblPr>
      <w:tblGrid>
        <w:gridCol w:w="4956"/>
        <w:gridCol w:w="4956"/>
      </w:tblGrid>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 xml:space="preserve">Орган управління </w:t>
            </w:r>
          </w:p>
        </w:tc>
        <w:tc>
          <w:tcPr>
            <w:tcW w:w="4956" w:type="dxa"/>
            <w:vAlign w:val="center"/>
            <w:tmTcPr id="1759223788" protected="0"/>
          </w:tcPr>
          <w:p>
            <w:pPr>
              <w:spacing/>
              <w:jc w:val="center"/>
              <w:rPr>
                <w:rFonts w:ascii="Times New Roman" w:hAnsi="Times New Roman"/>
                <w:lang w:val="uk-ua"/>
              </w:rPr>
            </w:pPr>
            <w:r>
              <w:rPr>
                <w:rFonts w:ascii="Times New Roman" w:hAnsi="Times New Roman"/>
                <w:lang w:val="uk-ua"/>
              </w:rPr>
              <w:t>Рада</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 xml:space="preserve">Ім'я члена виконавчого органу/ради особи </w:t>
            </w:r>
          </w:p>
        </w:tc>
        <w:tc>
          <w:tcPr>
            <w:tcW w:w="4956" w:type="dxa"/>
            <w:vAlign w:val="center"/>
            <w:tmTcPr id="1759223788" protected="0"/>
          </w:tcPr>
          <w:p>
            <w:pPr>
              <w:rPr>
                <w:rFonts w:ascii="Times New Roman" w:hAnsi="Times New Roman"/>
                <w:lang w:val="uk-ua"/>
              </w:rPr>
            </w:pPr>
            <w:r>
              <w:rPr>
                <w:rFonts w:ascii="Times New Roman" w:hAnsi="Times New Roman"/>
                <w:lang w:val="uk-ua"/>
              </w:rPr>
              <w:t>Усенко Аентон Юрійовичі</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РНОКПП</w:t>
            </w:r>
          </w:p>
        </w:tc>
        <w:tc>
          <w:tcPr>
            <w:tcW w:w="4956" w:type="dxa"/>
            <w:vAlign w:val="center"/>
            <w:tmTcPr id="1759223788" protected="0"/>
          </w:tcPr>
          <w:p>
            <w:pPr>
              <w:spacing/>
              <w:jc w:val="center"/>
              <w:rPr>
                <w:rFonts w:ascii="Times New Roman" w:hAnsi="Times New Roman"/>
                <w:lang w:val="uk-ua"/>
              </w:rPr>
            </w:pPr>
            <w:r>
              <w:rPr>
                <w:rFonts w:ascii="Times New Roman" w:hAnsi="Times New Roman"/>
                <w:lang w:val="uk-ua"/>
              </w:rPr>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УНЗР</w:t>
            </w:r>
          </w:p>
        </w:tc>
        <w:tc>
          <w:tcPr>
            <w:tcW w:w="4956" w:type="dxa"/>
            <w:vAlign w:val="center"/>
            <w:tmTcPr id="1759223788" protected="0"/>
          </w:tcPr>
          <w:p>
            <w:pPr>
              <w:spacing/>
              <w:jc w:val="center"/>
              <w:rPr>
                <w:rFonts w:ascii="Times New Roman" w:hAnsi="Times New Roman"/>
                <w:lang w:val="uk-ua"/>
              </w:rPr>
            </w:pPr>
            <w:r>
              <w:rPr>
                <w:rFonts w:ascii="Times New Roman" w:hAnsi="Times New Roman"/>
                <w:lang w:val="uk-ua"/>
              </w:rPr>
              <w:t xml:space="preserve">              </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Посада</w:t>
            </w:r>
          </w:p>
        </w:tc>
        <w:tc>
          <w:tcPr>
            <w:tcW w:w="4956" w:type="dxa"/>
            <w:vAlign w:val="center"/>
            <w:tmTcPr id="1759223788" protected="0"/>
          </w:tcPr>
          <w:p>
            <w:pPr>
              <w:rPr>
                <w:rFonts w:ascii="Times New Roman" w:hAnsi="Times New Roman"/>
                <w:lang w:val="uk-ua"/>
              </w:rPr>
            </w:pPr>
            <w:r>
              <w:rPr>
                <w:rFonts w:ascii="Times New Roman" w:hAnsi="Times New Roman"/>
                <w:lang w:val="uk-ua"/>
              </w:rPr>
              <w:t xml:space="preserve">                                                                                                                                                                                                                                                              </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Дата вступу на посаду</w:t>
            </w:r>
          </w:p>
        </w:tc>
        <w:tc>
          <w:tcPr>
            <w:tcW w:w="4956" w:type="dxa"/>
            <w:vAlign w:val="center"/>
            <w:tmTcPr id="1759223788" protected="0"/>
          </w:tcPr>
          <w:p>
            <w:pPr>
              <w:spacing/>
              <w:jc w:val="center"/>
              <w:rPr>
                <w:rFonts w:ascii="Times New Roman" w:hAnsi="Times New Roman"/>
                <w:lang w:val="uk-ua"/>
              </w:rPr>
            </w:pPr>
            <w:r>
              <w:rPr>
                <w:rFonts w:ascii="Times New Roman" w:hAnsi="Times New Roman"/>
                <w:lang w:val="uk-ua"/>
              </w:rPr>
              <w:t>01.01.2023</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4956" w:type="dxa"/>
            <w:vAlign w:val="center"/>
            <w:tmTcPr id="1759223788" protected="0"/>
          </w:tcPr>
          <w:p>
            <w:pPr>
              <w:rPr>
                <w:rFonts w:ascii="Times New Roman" w:hAnsi="Times New Roman"/>
                <w:lang w:val="uk-ua"/>
              </w:rPr>
            </w:pPr>
            <w:r>
              <w:rPr>
                <w:rFonts w:ascii="Times New Roman" w:hAnsi="Times New Roman"/>
                <w:lang w:val="uk-ua"/>
              </w:rPr>
              <w:t>Виплатили : 0</w:t>
            </w:r>
          </w:p>
          <w:p>
            <w:pPr>
              <w:rPr>
                <w:rFonts w:ascii="Times New Roman" w:hAnsi="Times New Roman"/>
                <w:lang w:val="uk-ua"/>
              </w:rPr>
            </w:pPr>
            <w:r>
              <w:rPr>
                <w:rFonts w:ascii="Times New Roman" w:hAnsi="Times New Roman"/>
                <w:lang w:val="uk-ua"/>
              </w:rPr>
              <w:t>Мають виплатити : 0</w:t>
            </w:r>
          </w:p>
          <w:p>
            <w:pPr>
              <w:rPr>
                <w:rFonts w:ascii="Times New Roman" w:hAnsi="Times New Roman"/>
                <w:lang w:val="uk-ua"/>
              </w:rPr>
            </w:pPr>
            <w:r>
              <w:rPr>
                <w:rFonts w:ascii="Times New Roman" w:hAnsi="Times New Roman"/>
                <w:lang w:val="uk-ua"/>
              </w:rPr>
              <w:t>Прийнято рішення про виплату : 0</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4956" w:type="dxa"/>
            <w:vAlign w:val="center"/>
            <w:tmTcPr id="1759223788" protected="0"/>
          </w:tcPr>
          <w:p>
            <w:pPr>
              <w:rPr>
                <w:rFonts w:ascii="Times New Roman" w:hAnsi="Times New Roman"/>
                <w:lang w:val="uk-ua"/>
              </w:rPr>
            </w:pPr>
            <w:r>
              <w:rPr>
                <w:rFonts w:ascii="Times New Roman" w:hAnsi="Times New Roman"/>
                <w:lang w:val="uk-ua"/>
              </w:rPr>
              <w:t xml:space="preserve">Виплатили : </w:t>
            </w:r>
          </w:p>
          <w:p>
            <w:pPr>
              <w:rPr>
                <w:rFonts w:ascii="Times New Roman" w:hAnsi="Times New Roman"/>
                <w:lang w:val="uk-ua"/>
              </w:rPr>
            </w:pPr>
            <w:r>
              <w:rPr>
                <w:rFonts w:ascii="Times New Roman" w:hAnsi="Times New Roman"/>
                <w:lang w:val="uk-ua"/>
              </w:rPr>
              <w:t xml:space="preserve">Мають виплатити : </w:t>
            </w:r>
          </w:p>
          <w:p>
            <w:pPr>
              <w:rPr>
                <w:rFonts w:ascii="Times New Roman" w:hAnsi="Times New Roman"/>
                <w:lang w:val="uk-ua"/>
              </w:rPr>
            </w:pPr>
            <w:r>
              <w:rPr>
                <w:rFonts w:ascii="Times New Roman" w:hAnsi="Times New Roman"/>
                <w:lang w:val="uk-ua"/>
              </w:rPr>
              <w:t xml:space="preserve">Прийнято рішення про виплату : </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4956" w:type="dxa"/>
            <w:vAlign w:val="center"/>
            <w:tmTcPr id="1759223788" protected="0"/>
          </w:tcPr>
          <w:p>
            <w:pPr>
              <w:rPr>
                <w:rFonts w:ascii="Times New Roman" w:hAnsi="Times New Roman"/>
                <w:lang w:val="uk-ua"/>
              </w:rPr>
            </w:pPr>
            <w:r>
              <w:rPr>
                <w:rFonts w:ascii="Times New Roman" w:hAnsi="Times New Roman"/>
                <w:lang w:val="uk-ua"/>
              </w:rPr>
              <w:t>Виплатили : 0</w:t>
            </w:r>
          </w:p>
          <w:p>
            <w:pPr>
              <w:rPr>
                <w:rFonts w:ascii="Times New Roman" w:hAnsi="Times New Roman"/>
                <w:lang w:val="uk-ua"/>
              </w:rPr>
            </w:pPr>
            <w:r>
              <w:rPr>
                <w:rFonts w:ascii="Times New Roman" w:hAnsi="Times New Roman"/>
                <w:lang w:val="uk-ua"/>
              </w:rPr>
              <w:t>Мають виплатити : 0</w:t>
            </w:r>
          </w:p>
          <w:p>
            <w:pPr>
              <w:rPr>
                <w:rFonts w:ascii="Times New Roman" w:hAnsi="Times New Roman"/>
                <w:lang w:val="uk-ua"/>
              </w:rPr>
            </w:pPr>
            <w:r>
              <w:rPr>
                <w:rFonts w:ascii="Times New Roman" w:hAnsi="Times New Roman"/>
                <w:lang w:val="uk-ua"/>
              </w:rPr>
              <w:t>Прийнято рішення про виплату : 0</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4956" w:type="dxa"/>
            <w:vAlign w:val="center"/>
            <w:tmTcPr id="1759223788" protected="0"/>
          </w:tcPr>
          <w:p>
            <w:pPr>
              <w:rPr>
                <w:rFonts w:ascii="Times New Roman" w:hAnsi="Times New Roman"/>
                <w:lang w:val="uk-ua"/>
              </w:rPr>
            </w:pPr>
            <w:r>
              <w:rPr>
                <w:rFonts w:ascii="Times New Roman" w:hAnsi="Times New Roman"/>
                <w:lang w:val="uk-ua"/>
              </w:rPr>
              <w:t>Виплатили : 0</w:t>
            </w:r>
          </w:p>
          <w:p>
            <w:pPr>
              <w:rPr>
                <w:rFonts w:ascii="Times New Roman" w:hAnsi="Times New Roman"/>
                <w:lang w:val="uk-ua"/>
              </w:rPr>
            </w:pPr>
            <w:r>
              <w:rPr>
                <w:rFonts w:ascii="Times New Roman" w:hAnsi="Times New Roman"/>
                <w:lang w:val="uk-ua"/>
              </w:rPr>
              <w:t>Мають виплатити : 0</w:t>
            </w:r>
          </w:p>
          <w:p>
            <w:pPr>
              <w:rPr>
                <w:rFonts w:ascii="Times New Roman" w:hAnsi="Times New Roman"/>
                <w:lang w:val="uk-ua"/>
              </w:rPr>
            </w:pPr>
            <w:r>
              <w:rPr>
                <w:rFonts w:ascii="Times New Roman" w:hAnsi="Times New Roman"/>
                <w:lang w:val="uk-ua"/>
              </w:rPr>
              <w:t>Прийнято рішення про виплату : 0</w:t>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Критерії оцінки ефективності, за якими нараховували змінну частину винагороди</w:t>
            </w:r>
          </w:p>
        </w:tc>
        <w:tc>
          <w:tcPr>
            <w:tcW w:w="4956" w:type="dxa"/>
            <w:vAlign w:val="center"/>
            <w:tmTcPr id="1759223788" protected="0"/>
          </w:tcPr>
          <w:p>
            <w:pPr>
              <w:rPr>
                <w:rFonts w:ascii="Times New Roman" w:hAnsi="Times New Roman"/>
                <w:lang w:val="uk-ua"/>
              </w:rPr>
            </w:pPr>
            <w:r>
              <w:rPr>
                <w:rFonts w:ascii="Times New Roman" w:hAnsi="Times New Roman"/>
                <w:lang w:val="uk-ua"/>
              </w:rPr>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Інформація про винагороду або ж компенсації, які мають бути виплачені у разі звільнення</w:t>
            </w:r>
          </w:p>
        </w:tc>
        <w:tc>
          <w:tcPr>
            <w:tcW w:w="4956" w:type="dxa"/>
            <w:vAlign w:val="center"/>
            <w:tmTcPr id="1759223788" protected="0"/>
          </w:tcPr>
          <w:p>
            <w:pPr>
              <w:rPr>
                <w:rFonts w:ascii="Times New Roman" w:hAnsi="Times New Roman"/>
                <w:lang w:val="uk-ua"/>
              </w:rPr>
            </w:pPr>
            <w:r>
              <w:rPr>
                <w:rFonts w:ascii="Times New Roman" w:hAnsi="Times New Roman"/>
                <w:lang w:val="uk-ua"/>
              </w:rPr>
            </w:r>
          </w:p>
        </w:tc>
      </w:tr>
      <w:tr>
        <w:trPr>
          <w:cantSplit w:val="0"/>
          <w:trHeight w:val="360" w:hRule="atLeast"/>
        </w:trPr>
        <w:tc>
          <w:tcPr>
            <w:tcW w:w="4956" w:type="dxa"/>
            <w:vAlign w:val="center"/>
            <w:tmTcPr id="1759223788" protected="0"/>
          </w:tcPr>
          <w:p>
            <w:pPr>
              <w:rPr>
                <w:rFonts w:ascii="Times New Roman" w:hAnsi="Times New Roman"/>
                <w:b/>
                <w:lang w:val="uk-ua"/>
              </w:rPr>
            </w:pPr>
            <w:r>
              <w:rPr>
                <w:rFonts w:ascii="Times New Roman" w:hAnsi="Times New Roman"/>
                <w:b/>
                <w:lang w:val="uk-ua"/>
              </w:rPr>
              <w:t>URL-адреса вебсайту особи, за якою розміщено звіт про винагороду</w:t>
            </w:r>
          </w:p>
        </w:tc>
        <w:tc>
          <w:tcPr>
            <w:tcW w:w="4956" w:type="dxa"/>
            <w:vAlign w:val="center"/>
            <w:tmTcPr id="1759223788" protected="0"/>
          </w:tcPr>
          <w:p>
            <w:pPr>
              <w:rPr>
                <w:rFonts w:ascii="Times New Roman" w:hAnsi="Times New Roman"/>
                <w:lang w:val="uk-ua"/>
              </w:rPr>
            </w:pPr>
            <w:r>
              <w:rPr>
                <w:rFonts w:ascii="Times New Roman" w:hAnsi="Times New Roman"/>
                <w:lang w:val="uk-ua"/>
              </w:rPr>
            </w:r>
          </w:p>
        </w:tc>
      </w:tr>
    </w:tbl>
    <w:p>
      <w:pPr>
        <w:spacing w:after="0"/>
        <w:rPr>
          <w:rFonts w:ascii="Times New Roman" w:hAnsi="Times New Roman"/>
          <w:b/>
          <w:sz w:val="20"/>
          <w:szCs w:val="20"/>
          <w:lang w:val="uk-ua"/>
        </w:rPr>
      </w:pPr>
      <w:r>
        <w:rPr>
          <w:rFonts w:ascii="Times New Roman" w:hAnsi="Times New Roman"/>
          <w:b/>
          <w:sz w:val="20"/>
          <w:szCs w:val="20"/>
          <w:lang w:val="uk-ua"/>
        </w:rPr>
        <w:t>Співвідношення середнього розміру винагороди члена виконавчого органу/ради із середнім розміром винагороди працівників особи : 0</w:t>
      </w:r>
    </w:p>
    <w:p>
      <w:pPr>
        <w:spacing w:after="0"/>
        <w:rPr>
          <w:rFonts w:ascii="Times New Roman" w:hAnsi="Times New Roman"/>
          <w:b/>
          <w:sz w:val="20"/>
          <w:szCs w:val="20"/>
          <w:lang w:val="uk-ua"/>
        </w:rPr>
      </w:pPr>
      <w:r>
        <w:rPr>
          <w:rFonts w:ascii="Times New Roman" w:hAnsi="Times New Roman"/>
          <w:b/>
          <w:sz w:val="20"/>
          <w:szCs w:val="20"/>
          <w:lang w:val="uk-ua"/>
        </w:rPr>
      </w:r>
    </w:p>
    <w:p>
      <w:pPr>
        <w:spacing w:after="0"/>
        <w:rPr>
          <w:rFonts w:ascii="Times New Roman" w:hAnsi="Times New Roman"/>
          <w:b/>
          <w:sz w:val="20"/>
          <w:szCs w:val="20"/>
          <w:lang w:val="uk-ua"/>
        </w:rPr>
      </w:pPr>
      <w:r>
        <w:rPr>
          <w:rFonts w:ascii="Times New Roman" w:hAnsi="Times New Roman"/>
          <w:b/>
          <w:sz w:val="20"/>
          <w:szCs w:val="20"/>
          <w:lang w:val="uk-ua"/>
        </w:rPr>
      </w:r>
    </w:p>
    <w:p>
      <w:pPr>
        <w:spacing w:before="113" w:after="57" w:line="257" w:lineRule="auto"/>
        <w:suppressAutoHyphens/>
        <w:hyphenationLines w:val="0"/>
        <w:keepNext/>
        <w:keepLines/>
        <w:widowControl w:val="0"/>
        <w:tabs defTabSz="708">
          <w:tab w:val="right" w:pos="7710" w:leader="none"/>
        </w:tabs>
        <w:rPr>
          <w:rFonts w:ascii="Times New Roman" w:hAnsi="Times New Roman" w:eastAsia="Times New Roman"/>
          <w:b/>
          <w:bCs/>
          <w:color w:val="000000"/>
          <w:sz w:val="24"/>
          <w:szCs w:val="24"/>
          <w:lang w:val="uk-ua" w:eastAsia="uk-ua"/>
        </w:rPr>
      </w:pPr>
      <w:r>
        <w:rPr>
          <w:rFonts w:ascii="Times New Roman" w:hAnsi="Times New Roman" w:eastAsia="Times New Roman"/>
          <w:b/>
          <w:bCs/>
          <w:color w:val="000000"/>
          <w:sz w:val="24"/>
          <w:szCs w:val="24"/>
          <w:lang w:val="uk-ua" w:eastAsia="uk-ua"/>
        </w:rPr>
        <w:t>Частина 12. Інформація про політику розкриття інформації особою</w:t>
      </w:r>
    </w:p>
    <w:tbl>
      <w:tblPr>
        <w:tblStyle w:val="NormalTable"/>
        <w:name w:val="Таблица48"/>
        <w:tabOrder w:val="0"/>
        <w:jc w:val="left"/>
        <w:tblInd w:w="0" w:type="dxa"/>
        <w:tblW w:w="9922" w:type="dxa"/>
        <w:tblLook w:val="0000" w:firstRow="0" w:lastRow="0" w:firstColumn="0" w:lastColumn="0" w:noHBand="0" w:noVBand="0"/>
      </w:tblPr>
      <w:tblGrid>
        <w:gridCol w:w="4167"/>
        <w:gridCol w:w="5755"/>
      </w:tblGrid>
      <w:tr>
        <w:trPr>
          <w:cantSplit w:val="0"/>
          <w:trHeight w:val="60" w:hRule="atLeast"/>
        </w:trPr>
        <w:tc>
          <w:tcPr>
            <w:tcW w:w="210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Назва внутрішнього документа, який визначає політику щодо розкриття інформації</w:t>
            </w:r>
          </w:p>
        </w:tc>
        <w:tc>
          <w:tcPr>
            <w:tcW w:w="2900"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color w:val="000000"/>
                <w:sz w:val="20"/>
                <w:szCs w:val="20"/>
                <w:lang w:val="uk-ua" w:eastAsia="uk-ua"/>
              </w:rPr>
              <w:t>Пол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 xml:space="preserve">тика щодо розкриття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нформац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ї у вигляд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 xml:space="preserve"> окремого документа не затверджувалася, при розкритт</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 xml:space="preserve">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нформац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 xml:space="preserve">ї Товариство керується вимогами НКЦПФР, зокрема Положенням про розкриття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нформац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ї ем</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тентами 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нних папер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val="uk-ua" w:eastAsia="uk-ua"/>
              </w:rPr>
              <w:t>в.</w:t>
            </w:r>
            <w:r>
              <w:rPr>
                <w:rFonts w:ascii="Times New Roman" w:hAnsi="Times New Roman" w:eastAsia="Times New Roman"/>
                <w:sz w:val="24"/>
                <w:szCs w:val="24"/>
                <w:lang w:val="uk-ua" w:eastAsia="uk-ua"/>
              </w:rPr>
            </w:r>
          </w:p>
        </w:tc>
      </w:tr>
      <w:tr>
        <w:trPr>
          <w:cantSplit w:val="0"/>
          <w:trHeight w:val="60" w:hRule="atLeast"/>
        </w:trPr>
        <w:tc>
          <w:tcPr>
            <w:tcW w:w="210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Найменування органу, який прийняв рішення про затвердження документу, який визначає політику щодо розкриття інформації</w:t>
            </w:r>
          </w:p>
        </w:tc>
        <w:tc>
          <w:tcPr>
            <w:tcW w:w="2900"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color w:val="000000"/>
                <w:sz w:val="20"/>
                <w:szCs w:val="20"/>
                <w:lang w:eastAsia="uk-ua"/>
              </w:rPr>
              <w:t>Національна комісія цінних паперів та фондового ринку</w:t>
            </w:r>
            <w:r>
              <w:rPr>
                <w:rFonts w:ascii="Times New Roman" w:hAnsi="Times New Roman" w:eastAsia="Times New Roman"/>
                <w:sz w:val="24"/>
                <w:szCs w:val="24"/>
                <w:lang w:val="uk-ua" w:eastAsia="uk-ua"/>
              </w:rPr>
            </w:r>
          </w:p>
        </w:tc>
      </w:tr>
      <w:tr>
        <w:trPr>
          <w:cantSplit w:val="0"/>
          <w:trHeight w:val="60" w:hRule="atLeast"/>
        </w:trPr>
        <w:tc>
          <w:tcPr>
            <w:tcW w:w="210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Дата та номер рішення про затвердження документу, який визначає політику щодо розкриття інформації</w:t>
            </w:r>
          </w:p>
        </w:tc>
        <w:tc>
          <w:tcPr>
            <w:tcW w:w="2900"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06.06.2023</w:t>
            </w:r>
          </w:p>
          <w:p>
            <w:pPr>
              <w:spacing w:after="0" w:line="240" w:lineRule="auto"/>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color w:val="000000"/>
                <w:sz w:val="20"/>
                <w:szCs w:val="20"/>
                <w:lang w:val="en-us" w:eastAsia="uk-ua"/>
              </w:rPr>
              <w:t>608</w:t>
            </w:r>
            <w:r>
              <w:rPr>
                <w:rFonts w:ascii="Times New Roman" w:hAnsi="Times New Roman" w:eastAsia="Times New Roman"/>
                <w:sz w:val="24"/>
                <w:szCs w:val="24"/>
                <w:lang w:val="uk-ua" w:eastAsia="uk-ua"/>
              </w:rPr>
            </w:r>
          </w:p>
        </w:tc>
      </w:tr>
      <w:tr>
        <w:trPr>
          <w:cantSplit w:val="0"/>
          <w:trHeight w:val="60" w:hRule="atLeast"/>
        </w:trPr>
        <w:tc>
          <w:tcPr>
            <w:tcW w:w="2100" w:type="pct"/>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2" w:lineRule="auto"/>
              <w:suppressAutoHyphens/>
              <w:hyphenationLines w:val="0"/>
              <w:widowControl w:val="0"/>
              <w:tabs defTabSz="708">
                <w:tab w:val="right" w:pos="7767"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Опис ключових положень внутрішнього документу, який визначає політику щодо розкриття інформації</w:t>
            </w:r>
          </w:p>
        </w:tc>
        <w:tc>
          <w:tcPr>
            <w:tcW w:w="2900" w:type="pct"/>
            <w:vAlign w:val="center"/>
            <w:tcMar>
              <w:top w:w="68" w:type="dxa"/>
              <w:left w:w="68" w:type="dxa"/>
              <w:bottom w:w="68" w:type="dxa"/>
              <w:right w:w="6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Товариство керується нормами Закону України "Про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онерн</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товариства" та "Положення про розкриття </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нформац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ем</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тентами 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нних папер</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в". </w:t>
            </w: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Пол</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тика щодо взаємод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з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онерами, яка сприяла б взаємод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ї м</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ж Товариством та її акц</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онерами, у вигляд</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 xml:space="preserve"> окремого документа, в</w:t>
            </w:r>
            <w:r>
              <w:rPr>
                <w:rFonts w:ascii="Times New Roman" w:hAnsi="Times New Roman" w:eastAsia="Times New Roman"/>
                <w:color w:val="000000"/>
                <w:sz w:val="20"/>
                <w:szCs w:val="20"/>
                <w:lang w:val="en-us" w:eastAsia="uk-ua"/>
              </w:rPr>
              <w:t>i</w:t>
            </w:r>
            <w:r>
              <w:rPr>
                <w:rFonts w:ascii="Times New Roman" w:hAnsi="Times New Roman" w:eastAsia="Times New Roman"/>
                <w:color w:val="000000"/>
                <w:sz w:val="20"/>
                <w:szCs w:val="20"/>
                <w:lang w:eastAsia="uk-ua"/>
              </w:rPr>
              <w:t>дсутня.</w:t>
            </w: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r>
          </w:p>
          <w:p>
            <w:pPr>
              <w:spacing w:after="0" w:line="240" w:lineRule="auto"/>
              <w:suppressAutoHyphens/>
              <w:hyphenationLines w:val="0"/>
              <w:widowControl w:val="0"/>
              <w:rPr>
                <w:rFonts w:ascii="Times New Roman" w:hAnsi="Times New Roman" w:eastAsia="Times New Roman"/>
                <w:sz w:val="24"/>
                <w:szCs w:val="24"/>
                <w:lang w:val="uk-ua" w:eastAsia="uk-ua"/>
              </w:rPr>
            </w:pPr>
            <w:r>
              <w:rPr>
                <w:rFonts w:ascii="Times New Roman" w:hAnsi="Times New Roman" w:eastAsia="Times New Roman"/>
                <w:sz w:val="24"/>
                <w:szCs w:val="24"/>
                <w:lang w:val="uk-ua" w:eastAsia="uk-ua"/>
              </w:rPr>
            </w:r>
          </w:p>
        </w:tc>
      </w:tr>
    </w:tbl>
    <w:p>
      <w:pPr>
        <w:rPr>
          <w:rFonts w:eastAsia="Times New Roman"/>
          <w:lang w:val="uk-ua" w:eastAsia="uk-ua"/>
        </w:rPr>
      </w:pPr>
      <w:r>
        <w:rPr>
          <w:rFonts w:eastAsia="Times New Roman"/>
          <w:lang w:val="uk-ua"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34"/>
          <w:footerReference w:type="default" r:id="rId35"/>
          <w:type w:val="nextPage"/>
          <w:pgSz w:h="16838" w:w="11906"/>
          <w:pgMar w:left="1417" w:top="363" w:right="567" w:bottom="363"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spacing w:after="60" w:line="240" w:lineRule="auto"/>
        <w:jc w:val="center"/>
        <w:outlineLvl w:val="0"/>
        <w:rPr>
          <w:rFonts w:ascii="Calibri Light" w:hAnsi="Calibri Light" w:eastAsia="Times New Roman"/>
          <w:bCs/>
          <w:kern w:val="0"/>
          <w:sz w:val="26"/>
          <w:szCs w:val="26"/>
          <w:lang w:val="uk-ua" w:eastAsia="uk-ua"/>
        </w:rPr>
      </w:pPr>
      <w:r/>
      <w:bookmarkStart w:id="16" w:name="_Toc210042941"/>
      <w:r/>
      <w:r>
        <w:rPr>
          <w:rFonts w:ascii="Times New Roman" w:hAnsi="Times New Roman" w:eastAsia="Times New Roman"/>
          <w:b/>
          <w:bCs/>
          <w:kern w:val="0"/>
          <w:sz w:val="26"/>
          <w:szCs w:val="26"/>
          <w:lang w:val="uk-ua" w:eastAsia="uk-ua"/>
        </w:rPr>
        <w:t>3) інформація щодо наявності у емітента відносин з іноземними державами зони ризику</w:t>
      </w:r>
      <w:r/>
      <w:bookmarkEnd w:id="16"/>
      <w:r/>
      <w:r>
        <w:rPr>
          <w:rFonts w:ascii="Calibri Light" w:hAnsi="Calibri Light" w:eastAsia="Times New Roman"/>
          <w:bCs/>
          <w:kern w:val="0"/>
          <w:sz w:val="26"/>
          <w:szCs w:val="26"/>
          <w:lang w:val="uk-ua" w:eastAsia="uk-ua"/>
        </w:rPr>
      </w:r>
    </w:p>
    <w:p>
      <w:pPr>
        <w:rPr>
          <w:rFonts w:ascii="Times New Roman" w:hAnsi="Times New Roman" w:eastAsia="Times New Roman"/>
          <w:b/>
          <w:sz w:val="24"/>
          <w:szCs w:val="24"/>
          <w:lang w:val="uk-ua" w:eastAsia="uk-ua"/>
        </w:rPr>
      </w:pPr>
      <w:r>
        <w:rPr>
          <w:rFonts w:ascii="Times New Roman" w:hAnsi="Times New Roman" w:eastAsia="Times New Roman"/>
          <w:b/>
          <w:sz w:val="24"/>
          <w:szCs w:val="24"/>
          <w:lang w:val="uk-ua" w:eastAsia="uk-ua"/>
        </w:rPr>
        <w:t>Інформація щодо наявності в структурі власності емітента фізичних осіб, які мають громадянство іноземної держави зони ризику</w:t>
      </w:r>
    </w:p>
    <w:tbl>
      <w:tblPr>
        <w:tblStyle w:val="NormalTable"/>
        <w:name w:val="Таблица49"/>
        <w:tabOrder w:val="0"/>
        <w:jc w:val="left"/>
        <w:tblInd w:w="0" w:type="dxa"/>
        <w:tblW w:w="16113" w:type="dxa"/>
        <w:tblLook w:val="0000" w:firstRow="0" w:lastRow="0" w:firstColumn="0" w:lastColumn="0" w:noHBand="0" w:noVBand="0"/>
      </w:tblPr>
      <w:tblGrid>
        <w:gridCol w:w="4850"/>
        <w:gridCol w:w="1966"/>
        <w:gridCol w:w="3239"/>
        <w:gridCol w:w="2256"/>
        <w:gridCol w:w="3802"/>
      </w:tblGrid>
      <w:tr>
        <w:trPr>
          <w:cantSplit w:val="0"/>
          <w:trHeight w:val="60" w:hRule="atLeast"/>
        </w:trPr>
        <w:tc>
          <w:tcPr>
            <w:tcW w:w="15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Ім’я</w:t>
            </w:r>
          </w:p>
        </w:tc>
        <w:tc>
          <w:tcPr>
            <w:tcW w:w="61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Громадянство</w:t>
            </w:r>
          </w:p>
        </w:tc>
        <w:tc>
          <w:tcPr>
            <w:tcW w:w="10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Країна та населений пункт місця проживання</w:t>
            </w:r>
          </w:p>
        </w:tc>
        <w:tc>
          <w:tcPr>
            <w:tcW w:w="7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Кількість акцій товариства, що прямо чи опосередковано належать особі</w:t>
            </w:r>
          </w:p>
        </w:tc>
        <w:tc>
          <w:tcPr>
            <w:tcW w:w="1180" w:type="pct"/>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Опис наявних у особи відносин контролю над емітентом</w:t>
            </w:r>
          </w:p>
        </w:tc>
      </w:tr>
      <w:tr>
        <w:trPr>
          <w:cantSplit w:val="0"/>
          <w:trHeight w:val="14" w:hRule="atLeast"/>
        </w:trPr>
        <w:tc>
          <w:tcPr>
            <w:tcW w:w="15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eastAsia="uk-ua"/>
              </w:rPr>
              <w:t xml:space="preserve">                                                 </w:t>
            </w:r>
            <w:r>
              <w:rPr>
                <w:rFonts w:ascii="Times New Roman" w:hAnsi="Times New Roman" w:eastAsia="Times New Roman"/>
                <w:b/>
                <w:color w:val="000000"/>
                <w:sz w:val="20"/>
                <w:szCs w:val="20"/>
                <w:lang w:val="uk-ua" w:eastAsia="uk-ua"/>
              </w:rPr>
              <w:t>1</w:t>
            </w:r>
            <w:r>
              <w:rPr>
                <w:rFonts w:ascii="Times New Roman" w:hAnsi="Times New Roman" w:eastAsia="Times New Roman"/>
                <w:b/>
                <w:color w:val="000000"/>
                <w:sz w:val="20"/>
                <w:szCs w:val="20"/>
                <w:lang w:val="uk-ua" w:eastAsia="uk-ua"/>
              </w:rPr>
            </w:r>
          </w:p>
        </w:tc>
        <w:tc>
          <w:tcPr>
            <w:tcW w:w="61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2</w:t>
            </w:r>
          </w:p>
        </w:tc>
        <w:tc>
          <w:tcPr>
            <w:tcW w:w="10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eastAsia="uk-ua"/>
              </w:rPr>
              <w:t xml:space="preserve">                              </w:t>
            </w:r>
            <w:r>
              <w:rPr>
                <w:rFonts w:ascii="Times New Roman" w:hAnsi="Times New Roman" w:eastAsia="Times New Roman"/>
                <w:b/>
                <w:color w:val="000000"/>
                <w:sz w:val="20"/>
                <w:szCs w:val="20"/>
                <w:lang w:val="uk-ua" w:eastAsia="uk-ua"/>
              </w:rPr>
              <w:t>3</w:t>
            </w:r>
            <w:r>
              <w:rPr>
                <w:rFonts w:ascii="Times New Roman" w:hAnsi="Times New Roman" w:eastAsia="Times New Roman"/>
                <w:b/>
                <w:color w:val="000000"/>
                <w:sz w:val="20"/>
                <w:szCs w:val="20"/>
                <w:lang w:val="uk-ua" w:eastAsia="uk-ua"/>
              </w:rPr>
            </w:r>
          </w:p>
        </w:tc>
        <w:tc>
          <w:tcPr>
            <w:tcW w:w="7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4</w:t>
            </w:r>
          </w:p>
        </w:tc>
        <w:tc>
          <w:tcPr>
            <w:tcW w:w="1180" w:type="pct"/>
            <w:vAlign w:val="center"/>
            <w:tcMar>
              <w:left w:w="85"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0"/>
                <w:lang w:eastAsia="uk-ua"/>
              </w:rPr>
            </w:pPr>
            <w:r>
              <w:rPr>
                <w:rFonts w:ascii="Times New Roman" w:hAnsi="Times New Roman" w:eastAsia="Times New Roman"/>
                <w:b/>
                <w:color w:val="000000"/>
                <w:sz w:val="20"/>
                <w:szCs w:val="20"/>
                <w:lang w:eastAsia="uk-ua"/>
              </w:rPr>
              <w:t xml:space="preserve">                                    5</w:t>
            </w:r>
          </w:p>
        </w:tc>
      </w:tr>
      <w:tr>
        <w:trPr>
          <w:cantSplit w:val="0"/>
          <w:trHeight w:val="14" w:hRule="atLeast"/>
        </w:trPr>
        <w:tc>
          <w:tcPr>
            <w:tcW w:w="15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Нюман Тамара Георгіївна</w:t>
            </w:r>
          </w:p>
        </w:tc>
        <w:tc>
          <w:tcPr>
            <w:tcW w:w="61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Росія</w:t>
            </w:r>
          </w:p>
        </w:tc>
        <w:tc>
          <w:tcPr>
            <w:tcW w:w="10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Росія. м. Санкт-Петербург</w:t>
            </w:r>
          </w:p>
        </w:tc>
        <w:tc>
          <w:tcPr>
            <w:tcW w:w="7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6233</w:t>
            </w:r>
          </w:p>
        </w:tc>
        <w:tc>
          <w:tcPr>
            <w:tcW w:w="1180" w:type="pct"/>
            <w:vAlign w:val="center"/>
            <w:tcMar>
              <w:left w:w="85"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Згідно реєстрів Приватного акціонерного товариства "Макіївський завод "Факел" особа прямо володіє 6233 шт. акцій товариства загальною номінальною вартістю 1558,25 грн, що становить 0,039383 % у статутному капіталі.</w:t>
            </w:r>
          </w:p>
        </w:tc>
      </w:tr>
    </w:tbl>
    <w:p>
      <w:pPr>
        <w:ind w:firstLine="283"/>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r>
    </w:p>
    <w:p>
      <w:pPr>
        <w:rPr>
          <w:rFonts w:eastAsia="Times New Roman"/>
          <w:lang w:val="uk-ua" w:eastAsia="uk-ua"/>
        </w:rPr>
      </w:pPr>
      <w:r>
        <w:rPr>
          <w:rFonts w:eastAsia="Times New Roman"/>
          <w:lang w:val="uk-ua" w:eastAsia="uk-ua"/>
        </w:rPr>
      </w:r>
    </w:p>
    <w:p>
      <w:pPr>
        <w:rPr>
          <w:rFonts w:ascii="Times New Roman" w:hAnsi="Times New Roman" w:eastAsia="Times New Roman"/>
          <w:b/>
          <w:sz w:val="24"/>
          <w:szCs w:val="24"/>
          <w:lang w:val="uk-ua" w:eastAsia="uk-ua"/>
        </w:rPr>
      </w:pPr>
      <w:r>
        <w:rPr>
          <w:rFonts w:ascii="Times New Roman" w:hAnsi="Times New Roman" w:eastAsia="Times New Roman"/>
          <w:b/>
          <w:sz w:val="24"/>
          <w:szCs w:val="24"/>
          <w:lang w:val="uk-ua" w:eastAsia="uk-ua"/>
        </w:rPr>
        <w:t>Інформація щодо наявності в структурі власності емітента фізичних осіб, постійним місцем проживання яких є іноземні держави зони ризику</w:t>
      </w:r>
    </w:p>
    <w:tbl>
      <w:tblPr>
        <w:tblStyle w:val="NormalTable"/>
        <w:name w:val="Таблица50"/>
        <w:tabOrder w:val="0"/>
        <w:jc w:val="left"/>
        <w:tblInd w:w="0" w:type="dxa"/>
        <w:tblW w:w="16113" w:type="dxa"/>
        <w:tblLook w:val="0000" w:firstRow="0" w:lastRow="0" w:firstColumn="0" w:lastColumn="0" w:noHBand="0" w:noVBand="0"/>
      </w:tblPr>
      <w:tblGrid>
        <w:gridCol w:w="4850"/>
        <w:gridCol w:w="1966"/>
        <w:gridCol w:w="3239"/>
        <w:gridCol w:w="2256"/>
        <w:gridCol w:w="3802"/>
      </w:tblGrid>
      <w:tr>
        <w:trPr>
          <w:cantSplit w:val="0"/>
          <w:trHeight w:val="60" w:hRule="atLeast"/>
        </w:trPr>
        <w:tc>
          <w:tcPr>
            <w:tcW w:w="15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Ім’я</w:t>
            </w:r>
          </w:p>
        </w:tc>
        <w:tc>
          <w:tcPr>
            <w:tcW w:w="61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Громадянство</w:t>
            </w:r>
          </w:p>
        </w:tc>
        <w:tc>
          <w:tcPr>
            <w:tcW w:w="10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Країна та населений пункт місця проживання</w:t>
            </w:r>
          </w:p>
        </w:tc>
        <w:tc>
          <w:tcPr>
            <w:tcW w:w="7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Кількість акцій товариства, що прямо чи опосередковано належать особі</w:t>
            </w:r>
          </w:p>
        </w:tc>
        <w:tc>
          <w:tcPr>
            <w:tcW w:w="1180" w:type="pct"/>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jc w:val="center"/>
              <w:rPr>
                <w:rFonts w:ascii="Times New Roman" w:hAnsi="Times New Roman" w:eastAsia="Times New Roman"/>
                <w:b/>
                <w:sz w:val="20"/>
                <w:szCs w:val="20"/>
                <w:lang w:val="uk-ua" w:eastAsia="uk-ua"/>
              </w:rPr>
            </w:pPr>
            <w:r>
              <w:rPr>
                <w:rFonts w:ascii="Times New Roman" w:hAnsi="Times New Roman" w:eastAsia="Times New Roman"/>
                <w:b/>
                <w:sz w:val="20"/>
                <w:szCs w:val="20"/>
                <w:lang w:val="uk-ua" w:eastAsia="uk-ua"/>
              </w:rPr>
              <w:t>Опис наявних у особи відносин контролю над емітентом</w:t>
            </w:r>
          </w:p>
        </w:tc>
      </w:tr>
      <w:tr>
        <w:trPr>
          <w:cantSplit w:val="0"/>
          <w:trHeight w:val="14" w:hRule="atLeast"/>
        </w:trPr>
        <w:tc>
          <w:tcPr>
            <w:tcW w:w="15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eastAsia="uk-ua"/>
              </w:rPr>
              <w:t xml:space="preserve">                                                 </w:t>
            </w:r>
            <w:r>
              <w:rPr>
                <w:rFonts w:ascii="Times New Roman" w:hAnsi="Times New Roman" w:eastAsia="Times New Roman"/>
                <w:b/>
                <w:color w:val="000000"/>
                <w:sz w:val="20"/>
                <w:szCs w:val="20"/>
                <w:lang w:val="uk-ua" w:eastAsia="uk-ua"/>
              </w:rPr>
              <w:t>1</w:t>
            </w:r>
            <w:r>
              <w:rPr>
                <w:rFonts w:ascii="Times New Roman" w:hAnsi="Times New Roman" w:eastAsia="Times New Roman"/>
                <w:b/>
                <w:color w:val="000000"/>
                <w:sz w:val="20"/>
                <w:szCs w:val="20"/>
                <w:lang w:val="uk-ua" w:eastAsia="uk-ua"/>
              </w:rPr>
            </w:r>
          </w:p>
        </w:tc>
        <w:tc>
          <w:tcPr>
            <w:tcW w:w="61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2</w:t>
            </w:r>
          </w:p>
        </w:tc>
        <w:tc>
          <w:tcPr>
            <w:tcW w:w="10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eastAsia="uk-ua"/>
              </w:rPr>
              <w:t xml:space="preserve">                              </w:t>
            </w:r>
            <w:r>
              <w:rPr>
                <w:rFonts w:ascii="Times New Roman" w:hAnsi="Times New Roman" w:eastAsia="Times New Roman"/>
                <w:b/>
                <w:color w:val="000000"/>
                <w:sz w:val="20"/>
                <w:szCs w:val="20"/>
                <w:lang w:val="uk-ua" w:eastAsia="uk-ua"/>
              </w:rPr>
              <w:t>3</w:t>
            </w:r>
            <w:r>
              <w:rPr>
                <w:rFonts w:ascii="Times New Roman" w:hAnsi="Times New Roman" w:eastAsia="Times New Roman"/>
                <w:b/>
                <w:color w:val="000000"/>
                <w:sz w:val="20"/>
                <w:szCs w:val="20"/>
                <w:lang w:val="uk-ua" w:eastAsia="uk-ua"/>
              </w:rPr>
            </w:r>
          </w:p>
        </w:tc>
        <w:tc>
          <w:tcPr>
            <w:tcW w:w="7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0"/>
                <w:lang w:val="uk-ua" w:eastAsia="uk-ua"/>
              </w:rPr>
            </w:pPr>
            <w:r>
              <w:rPr>
                <w:rFonts w:ascii="Times New Roman" w:hAnsi="Times New Roman" w:eastAsia="Times New Roman"/>
                <w:b/>
                <w:color w:val="000000"/>
                <w:sz w:val="20"/>
                <w:szCs w:val="20"/>
                <w:lang w:val="uk-ua" w:eastAsia="uk-ua"/>
              </w:rPr>
              <w:t>4</w:t>
            </w:r>
          </w:p>
        </w:tc>
        <w:tc>
          <w:tcPr>
            <w:tcW w:w="1180" w:type="pct"/>
            <w:vAlign w:val="center"/>
            <w:tcMar>
              <w:left w:w="85"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0"/>
                <w:lang w:eastAsia="uk-ua"/>
              </w:rPr>
            </w:pPr>
            <w:r>
              <w:rPr>
                <w:rFonts w:ascii="Times New Roman" w:hAnsi="Times New Roman" w:eastAsia="Times New Roman"/>
                <w:b/>
                <w:color w:val="000000"/>
                <w:sz w:val="20"/>
                <w:szCs w:val="20"/>
                <w:lang w:eastAsia="uk-ua"/>
              </w:rPr>
              <w:t xml:space="preserve">                                   5</w:t>
            </w:r>
          </w:p>
        </w:tc>
      </w:tr>
      <w:tr>
        <w:trPr>
          <w:cantSplit w:val="0"/>
          <w:trHeight w:val="14" w:hRule="atLeast"/>
        </w:trPr>
        <w:tc>
          <w:tcPr>
            <w:tcW w:w="15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Нюман Тамара Георгіївна</w:t>
            </w:r>
          </w:p>
        </w:tc>
        <w:tc>
          <w:tcPr>
            <w:tcW w:w="61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Росія</w:t>
            </w:r>
          </w:p>
        </w:tc>
        <w:tc>
          <w:tcPr>
            <w:tcW w:w="100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Росія. м. Санкт-Петербург</w:t>
            </w:r>
          </w:p>
        </w:tc>
        <w:tc>
          <w:tcPr>
            <w:tcW w:w="70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0"/>
                <w:lang w:val="uk-ua" w:eastAsia="uk-ua"/>
              </w:rPr>
            </w:pPr>
            <w:r>
              <w:rPr>
                <w:rFonts w:ascii="Times New Roman" w:hAnsi="Times New Roman" w:eastAsia="Times New Roman"/>
                <w:color w:val="000000"/>
                <w:sz w:val="20"/>
                <w:szCs w:val="20"/>
                <w:lang w:val="uk-ua" w:eastAsia="uk-ua"/>
              </w:rPr>
              <w:t>6233</w:t>
            </w:r>
          </w:p>
        </w:tc>
        <w:tc>
          <w:tcPr>
            <w:tcW w:w="1180" w:type="pct"/>
            <w:vAlign w:val="center"/>
            <w:tcMar>
              <w:left w:w="85"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0"/>
                <w:lang w:eastAsia="uk-ua"/>
              </w:rPr>
            </w:pPr>
            <w:r>
              <w:rPr>
                <w:rFonts w:ascii="Times New Roman" w:hAnsi="Times New Roman" w:eastAsia="Times New Roman"/>
                <w:color w:val="000000"/>
                <w:sz w:val="20"/>
                <w:szCs w:val="20"/>
                <w:lang w:eastAsia="uk-ua"/>
              </w:rPr>
              <w:t>Згідно реєстрів Приватного акціонерного товариства "Макіївський завод "Факел" особа прямо володіє 6233 шт. акцій товариства загальною номінальною вартістю 1558,25 грн, що становить 0,039383 % у статутному капіталі.</w:t>
            </w:r>
          </w:p>
        </w:tc>
      </w:tr>
    </w:tbl>
    <w:p>
      <w:pPr>
        <w:rPr>
          <w:rFonts w:eastAsia="Times New Roman"/>
          <w:lang w:val="uk-ua" w:eastAsia="uk-ua"/>
        </w:rPr>
      </w:pPr>
      <w:r>
        <w:rPr>
          <w:rFonts w:eastAsia="Times New Roman"/>
          <w:lang w:val="uk-ua" w:eastAsia="uk-ua"/>
        </w:rPr>
      </w:r>
    </w:p>
    <w:p>
      <w:pPr>
        <w:spacing w:after="0"/>
        <w:keepNext/>
        <w:outlineLvl w:val="0"/>
        <w:rPr>
          <w:rFonts w:ascii="Times New Roman" w:hAnsi="Times New Roman" w:eastAsia="Times New Roman"/>
          <w:b/>
          <w:bCs/>
          <w:kern w:val="0"/>
          <w:sz w:val="26"/>
          <w:szCs w:val="26"/>
          <w:lang w:val="uk-ua" w:eastAsia="uk-ua"/>
        </w:rPr>
      </w:pPr>
      <w:r/>
      <w:bookmarkStart w:id="17" w:name="_Toc210042942"/>
      <w:r/>
      <w:r>
        <w:rPr>
          <w:rFonts w:ascii="Times New Roman" w:hAnsi="Times New Roman" w:eastAsia="Times New Roman"/>
          <w:b/>
          <w:bCs/>
          <w:kern w:val="0"/>
          <w:sz w:val="26"/>
          <w:szCs w:val="26"/>
          <w:lang w:val="uk-ua" w:eastAsia="uk-ua"/>
        </w:rPr>
        <w:t>5. Перелік посилань на внутрішні документи особи, що розміщені на вебсайті особи</w:t>
      </w:r>
      <w:r/>
      <w:bookmarkEnd w:id="17"/>
      <w:r/>
      <w:r>
        <w:rPr>
          <w:rFonts w:ascii="Times New Roman" w:hAnsi="Times New Roman" w:eastAsia="Times New Roman"/>
          <w:b/>
          <w:bCs/>
          <w:kern w:val="0"/>
          <w:sz w:val="26"/>
          <w:szCs w:val="26"/>
          <w:lang w:val="uk-ua" w:eastAsia="uk-ua"/>
        </w:rPr>
      </w:r>
    </w:p>
    <w:tbl>
      <w:tblPr>
        <w:tblStyle w:val="NormalTable"/>
        <w:name w:val="Таблица51"/>
        <w:tabOrder w:val="0"/>
        <w:jc w:val="left"/>
        <w:tblInd w:w="0" w:type="dxa"/>
        <w:tblW w:w="16095" w:type="dxa"/>
        <w:tblLook w:val="0000" w:firstRow="0" w:lastRow="0" w:firstColumn="0" w:lastColumn="0" w:noHBand="0" w:noVBand="0"/>
      </w:tblPr>
      <w:tblGrid>
        <w:gridCol w:w="693"/>
        <w:gridCol w:w="5220"/>
        <w:gridCol w:w="5091"/>
        <w:gridCol w:w="5091"/>
      </w:tblGrid>
      <w:tr>
        <w:trPr>
          <w:cantSplit w:val="0"/>
          <w:trHeight w:val="60" w:hRule="atLeast"/>
        </w:trPr>
        <w:tc>
          <w:tcPr>
            <w:tcW w:w="21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з/п</w:t>
            </w:r>
          </w:p>
        </w:tc>
        <w:tc>
          <w:tcPr>
            <w:tcW w:w="16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xml:space="preserve">Назва внутрішнього документа </w:t>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xml:space="preserve">Опис ключових питань, які регулюються </w:t>
              <w:br w:type="textWrapping"/>
              <w:t>внутрішнім документом</w:t>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xml:space="preserve">URL-адреса вебсайту особи, за якою розміщено </w:t>
              <w:br w:type="textWrapping"/>
              <w:t>внутрішній документ</w:t>
            </w:r>
          </w:p>
        </w:tc>
      </w:tr>
      <w:tr>
        <w:trPr>
          <w:cantSplit w:val="0"/>
          <w:trHeight w:val="60" w:hRule="atLeast"/>
        </w:trPr>
        <w:tc>
          <w:tcPr>
            <w:tcW w:w="21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1</w:t>
            </w:r>
          </w:p>
        </w:tc>
        <w:tc>
          <w:tcPr>
            <w:tcW w:w="16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en-us" w:eastAsia="uk-ua"/>
              </w:rPr>
              <w:t xml:space="preserve">                                                </w:t>
            </w:r>
            <w:r>
              <w:rPr>
                <w:rFonts w:ascii="Times New Roman" w:hAnsi="Times New Roman" w:eastAsia="Times New Roman"/>
                <w:b/>
                <w:color w:val="000000"/>
                <w:sz w:val="20"/>
                <w:szCs w:val="24"/>
                <w:lang w:val="uk-ua" w:eastAsia="uk-ua"/>
              </w:rPr>
              <w:t>2</w:t>
            </w:r>
            <w:r>
              <w:rPr>
                <w:rFonts w:ascii="Times New Roman" w:hAnsi="Times New Roman" w:eastAsia="Times New Roman"/>
                <w:b/>
                <w:color w:val="000000"/>
                <w:sz w:val="20"/>
                <w:szCs w:val="24"/>
                <w:lang w:val="uk-ua" w:eastAsia="uk-ua"/>
              </w:rPr>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en-us" w:eastAsia="uk-ua"/>
              </w:rPr>
              <w:t xml:space="preserve">                                                 </w:t>
            </w:r>
            <w:r>
              <w:rPr>
                <w:rFonts w:ascii="Times New Roman" w:hAnsi="Times New Roman" w:eastAsia="Times New Roman"/>
                <w:b/>
                <w:color w:val="000000"/>
                <w:sz w:val="20"/>
                <w:szCs w:val="24"/>
                <w:lang w:val="uk-ua" w:eastAsia="uk-ua"/>
              </w:rPr>
              <w:t>3</w:t>
            </w:r>
            <w:r>
              <w:rPr>
                <w:rFonts w:ascii="Times New Roman" w:hAnsi="Times New Roman" w:eastAsia="Times New Roman"/>
                <w:b/>
                <w:color w:val="000000"/>
                <w:sz w:val="20"/>
                <w:szCs w:val="24"/>
                <w:lang w:val="uk-ua" w:eastAsia="uk-ua"/>
              </w:rPr>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en-us" w:eastAsia="uk-ua"/>
              </w:rPr>
              <w:t xml:space="preserve">                                                  </w:t>
            </w:r>
            <w:r>
              <w:rPr>
                <w:rFonts w:ascii="Times New Roman" w:hAnsi="Times New Roman" w:eastAsia="Times New Roman"/>
                <w:b/>
                <w:color w:val="000000"/>
                <w:sz w:val="20"/>
                <w:szCs w:val="24"/>
                <w:lang w:val="uk-ua" w:eastAsia="uk-ua"/>
              </w:rPr>
              <w:t>4</w:t>
            </w:r>
            <w:r>
              <w:rPr>
                <w:rFonts w:ascii="Times New Roman" w:hAnsi="Times New Roman" w:eastAsia="Times New Roman"/>
                <w:b/>
                <w:color w:val="000000"/>
                <w:sz w:val="20"/>
                <w:szCs w:val="24"/>
                <w:lang w:val="uk-ua" w:eastAsia="uk-ua"/>
              </w:rPr>
            </w:r>
          </w:p>
        </w:tc>
      </w:tr>
      <w:tr>
        <w:trPr>
          <w:cantSplit w:val="0"/>
          <w:trHeight w:val="60" w:hRule="atLeast"/>
        </w:trPr>
        <w:tc>
          <w:tcPr>
            <w:tcW w:w="21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1</w:t>
            </w:r>
          </w:p>
        </w:tc>
        <w:tc>
          <w:tcPr>
            <w:tcW w:w="16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Інформація про підприємство</w:t>
            </w:r>
          </w:p>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https://fakel.pat.ua/emitents/reports/year/2020</w:t>
            </w:r>
          </w:p>
        </w:tc>
      </w:tr>
      <w:tr>
        <w:trPr>
          <w:cantSplit w:val="0"/>
          <w:trHeight w:val="60" w:hRule="atLeast"/>
        </w:trPr>
        <w:tc>
          <w:tcPr>
            <w:tcW w:w="21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2</w:t>
            </w:r>
          </w:p>
        </w:tc>
        <w:tc>
          <w:tcPr>
            <w:tcW w:w="16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Установчі документи</w:t>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https://fakel.pat.ua/emitents/reports/year/2020</w:t>
            </w:r>
          </w:p>
        </w:tc>
      </w:tr>
      <w:tr>
        <w:trPr>
          <w:cantSplit w:val="0"/>
          <w:trHeight w:val="60" w:hRule="atLeast"/>
        </w:trPr>
        <w:tc>
          <w:tcPr>
            <w:tcW w:w="21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3</w:t>
            </w:r>
          </w:p>
        </w:tc>
        <w:tc>
          <w:tcPr>
            <w:tcW w:w="16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eastAsia="uk-ua"/>
              </w:rPr>
            </w:pPr>
            <w:r>
              <w:rPr>
                <w:rFonts w:ascii="Times New Roman" w:hAnsi="Times New Roman" w:eastAsia="Times New Roman"/>
                <w:color w:val="000000"/>
                <w:sz w:val="20"/>
                <w:szCs w:val="24"/>
                <w:lang w:eastAsia="uk-ua"/>
              </w:rPr>
              <w:t>ВИПИСКА З РЕЄСТРУ КОДІВ ЦІННИХ ПАПЕРІВ ПРАТ "МАКІЇВСЬКИЙ ЗАВОД "ФАКЕЛ"</w:t>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eastAsia="uk-ua"/>
              </w:rPr>
            </w:pPr>
            <w:r>
              <w:rPr>
                <w:rFonts w:ascii="Times New Roman" w:hAnsi="Times New Roman" w:eastAsia="Times New Roman"/>
                <w:color w:val="000000"/>
                <w:sz w:val="20"/>
                <w:szCs w:val="24"/>
                <w:lang w:eastAsia="uk-ua"/>
              </w:rPr>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eastAsia="uk-ua"/>
              </w:rPr>
            </w:pPr>
            <w:r>
              <w:rPr>
                <w:rFonts w:ascii="Times New Roman" w:hAnsi="Times New Roman" w:eastAsia="Times New Roman"/>
                <w:color w:val="000000"/>
                <w:sz w:val="20"/>
                <w:szCs w:val="24"/>
                <w:lang w:val="en-us" w:eastAsia="uk-ua"/>
              </w:rPr>
              <w:t>https</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fakel</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pat</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ua</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emitents</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reports</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year</w:t>
            </w:r>
            <w:r>
              <w:rPr>
                <w:rFonts w:ascii="Times New Roman" w:hAnsi="Times New Roman" w:eastAsia="Times New Roman"/>
                <w:color w:val="000000"/>
                <w:sz w:val="20"/>
                <w:szCs w:val="24"/>
                <w:lang w:eastAsia="uk-ua"/>
              </w:rPr>
              <w:t>/2020</w:t>
            </w:r>
            <w:r>
              <w:rPr>
                <w:rFonts w:ascii="Times New Roman" w:hAnsi="Times New Roman" w:eastAsia="Times New Roman"/>
                <w:color w:val="000000"/>
                <w:sz w:val="20"/>
                <w:szCs w:val="24"/>
                <w:lang w:eastAsia="uk-ua"/>
              </w:rPr>
            </w:r>
          </w:p>
        </w:tc>
      </w:tr>
      <w:tr>
        <w:trPr>
          <w:cantSplit w:val="0"/>
          <w:trHeight w:val="60" w:hRule="atLeast"/>
        </w:trPr>
        <w:tc>
          <w:tcPr>
            <w:tcW w:w="21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4</w:t>
            </w:r>
          </w:p>
        </w:tc>
        <w:tc>
          <w:tcPr>
            <w:tcW w:w="16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Положення</w:t>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eastAsia="uk-ua"/>
              </w:rPr>
            </w:pPr>
            <w:r>
              <w:rPr>
                <w:rFonts w:ascii="Times New Roman" w:hAnsi="Times New Roman" w:eastAsia="Times New Roman"/>
                <w:color w:val="000000"/>
                <w:sz w:val="20"/>
                <w:szCs w:val="24"/>
                <w:lang w:eastAsia="uk-ua"/>
              </w:rPr>
              <w:t>Положення "Про начислення та сплату дивідентдів"</w:t>
            </w:r>
          </w:p>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eastAsia="uk-ua"/>
              </w:rPr>
            </w:pPr>
            <w:r>
              <w:rPr>
                <w:rFonts w:ascii="Times New Roman" w:hAnsi="Times New Roman" w:eastAsia="Times New Roman"/>
                <w:color w:val="000000"/>
                <w:sz w:val="20"/>
                <w:szCs w:val="24"/>
                <w:lang w:eastAsia="uk-ua"/>
              </w:rPr>
              <w:t>Положення "Про загальні збори ПРАТ Макіївський завод "ФАКЕЛ"</w:t>
            </w:r>
          </w:p>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eastAsia="uk-ua"/>
              </w:rPr>
            </w:pPr>
            <w:r>
              <w:rPr>
                <w:rFonts w:ascii="Times New Roman" w:hAnsi="Times New Roman" w:eastAsia="Times New Roman"/>
                <w:color w:val="000000"/>
                <w:sz w:val="20"/>
                <w:szCs w:val="24"/>
                <w:lang w:eastAsia="uk-ua"/>
              </w:rPr>
              <w:t>Положення про наглядову раду</w:t>
            </w:r>
          </w:p>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eastAsia="uk-ua"/>
              </w:rPr>
            </w:pPr>
            <w:r>
              <w:rPr>
                <w:rFonts w:ascii="Times New Roman" w:hAnsi="Times New Roman" w:eastAsia="Times New Roman"/>
                <w:color w:val="000000"/>
                <w:sz w:val="20"/>
                <w:szCs w:val="24"/>
                <w:lang w:eastAsia="uk-ua"/>
              </w:rPr>
              <w:t>Положення про корпоративного секретаря</w:t>
            </w:r>
          </w:p>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eastAsia="uk-ua"/>
              </w:rPr>
            </w:pPr>
            <w:r>
              <w:rPr>
                <w:rFonts w:ascii="Times New Roman" w:hAnsi="Times New Roman" w:eastAsia="Times New Roman"/>
                <w:color w:val="000000"/>
                <w:sz w:val="20"/>
                <w:szCs w:val="24"/>
                <w:lang w:eastAsia="uk-ua"/>
              </w:rPr>
              <w:t>Положення про ревізора</w:t>
            </w:r>
          </w:p>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eastAsia="uk-ua"/>
              </w:rPr>
            </w:pPr>
            <w:r>
              <w:rPr>
                <w:rFonts w:ascii="Times New Roman" w:hAnsi="Times New Roman" w:eastAsia="Times New Roman"/>
                <w:color w:val="000000"/>
                <w:sz w:val="20"/>
                <w:szCs w:val="24"/>
                <w:lang w:eastAsia="uk-ua"/>
              </w:rPr>
              <w:t>Кодекс корпоративного управління ПРАТ "МАКІЇВСЬКИЙ ЗАВОД "ФАКЕЛ"</w:t>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eastAsia="uk-ua"/>
              </w:rPr>
            </w:pPr>
            <w:r>
              <w:rPr>
                <w:rFonts w:ascii="Times New Roman" w:hAnsi="Times New Roman" w:eastAsia="Times New Roman"/>
                <w:color w:val="000000"/>
                <w:sz w:val="20"/>
                <w:szCs w:val="24"/>
                <w:lang w:val="en-us" w:eastAsia="uk-ua"/>
              </w:rPr>
              <w:t>https</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fakel</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pat</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ua</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emitents</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reports</w:t>
            </w:r>
            <w:r>
              <w:rPr>
                <w:rFonts w:ascii="Times New Roman" w:hAnsi="Times New Roman" w:eastAsia="Times New Roman"/>
                <w:color w:val="000000"/>
                <w:sz w:val="20"/>
                <w:szCs w:val="24"/>
                <w:lang w:eastAsia="uk-ua"/>
              </w:rPr>
              <w:t>/</w:t>
            </w:r>
            <w:r>
              <w:rPr>
                <w:rFonts w:ascii="Times New Roman" w:hAnsi="Times New Roman" w:eastAsia="Times New Roman"/>
                <w:color w:val="000000"/>
                <w:sz w:val="20"/>
                <w:szCs w:val="24"/>
                <w:lang w:val="en-us" w:eastAsia="uk-ua"/>
              </w:rPr>
              <w:t>year</w:t>
            </w:r>
            <w:r>
              <w:rPr>
                <w:rFonts w:ascii="Times New Roman" w:hAnsi="Times New Roman" w:eastAsia="Times New Roman"/>
                <w:color w:val="000000"/>
                <w:sz w:val="20"/>
                <w:szCs w:val="24"/>
                <w:lang w:eastAsia="uk-ua"/>
              </w:rPr>
              <w:t>/2020</w:t>
            </w:r>
            <w:r>
              <w:rPr>
                <w:rFonts w:ascii="Times New Roman" w:hAnsi="Times New Roman" w:eastAsia="Times New Roman"/>
                <w:color w:val="000000"/>
                <w:sz w:val="20"/>
                <w:szCs w:val="24"/>
                <w:lang w:eastAsia="uk-ua"/>
              </w:rPr>
            </w:r>
          </w:p>
        </w:tc>
      </w:tr>
      <w:tr>
        <w:trPr>
          <w:cantSplit w:val="0"/>
          <w:trHeight w:val="60" w:hRule="atLeast"/>
        </w:trPr>
        <w:tc>
          <w:tcPr>
            <w:tcW w:w="21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5</w:t>
            </w:r>
          </w:p>
        </w:tc>
        <w:tc>
          <w:tcPr>
            <w:tcW w:w="16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Протоколи зборів</w:t>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https://fakel.pat.ua/emitents/reports/year/2020</w:t>
            </w:r>
          </w:p>
        </w:tc>
      </w:tr>
      <w:tr>
        <w:trPr>
          <w:cantSplit w:val="0"/>
          <w:trHeight w:val="60" w:hRule="atLeast"/>
        </w:trPr>
        <w:tc>
          <w:tcPr>
            <w:tcW w:w="21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6</w:t>
            </w:r>
          </w:p>
        </w:tc>
        <w:tc>
          <w:tcPr>
            <w:tcW w:w="16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Результати перевірок</w:t>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https://fakel.pat.ua/emitents/reports/year/2020</w:t>
            </w:r>
          </w:p>
        </w:tc>
      </w:tr>
      <w:tr>
        <w:trPr>
          <w:cantSplit w:val="0"/>
          <w:trHeight w:val="60" w:hRule="atLeast"/>
        </w:trPr>
        <w:tc>
          <w:tcPr>
            <w:tcW w:w="215"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7</w:t>
            </w:r>
          </w:p>
        </w:tc>
        <w:tc>
          <w:tcPr>
            <w:tcW w:w="16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Повідомлення про збори</w:t>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r>
          </w:p>
        </w:tc>
        <w:tc>
          <w:tcPr>
            <w:tcW w:w="158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https://fakel.pat.ua/emitents/reports/year/2020</w:t>
            </w:r>
          </w:p>
        </w:tc>
      </w:tr>
    </w:tbl>
    <w:p>
      <w:pPr>
        <w:ind w:firstLine="283"/>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r>
    </w:p>
    <w:p>
      <w:pPr>
        <w:rPr>
          <w:rFonts w:eastAsia="Times New Roman"/>
          <w:lang w:val="uk-ua" w:eastAsia="uk-ua"/>
        </w:rPr>
      </w:pPr>
      <w:r>
        <w:rPr>
          <w:rFonts w:eastAsia="Times New Roman"/>
          <w:lang w:val="uk-ua" w:eastAsia="uk-ua"/>
        </w:rPr>
      </w:r>
    </w:p>
    <w:p>
      <w:pPr>
        <w:spacing w:after="60"/>
        <w:jc w:val="center"/>
        <w:keepNext/>
        <w:outlineLvl w:val="0"/>
        <w:rPr>
          <w:rFonts w:ascii="Times New Roman" w:hAnsi="Times New Roman" w:eastAsia="Times New Roman"/>
          <w:b/>
          <w:bCs/>
          <w:kern w:val="0"/>
          <w:sz w:val="28"/>
          <w:szCs w:val="28"/>
          <w:lang w:val="uk-ua" w:eastAsia="uk-ua"/>
        </w:rPr>
      </w:pPr>
      <w:r/>
      <w:bookmarkStart w:id="18" w:name="_Toc210042943"/>
      <w:r/>
      <w:r>
        <w:rPr>
          <w:rFonts w:ascii="Times New Roman" w:hAnsi="Times New Roman" w:eastAsia="Times New Roman"/>
          <w:b/>
          <w:bCs/>
          <w:kern w:val="0"/>
          <w:sz w:val="28"/>
          <w:szCs w:val="28"/>
          <w:lang w:val="uk-ua" w:eastAsia="uk-ua"/>
        </w:rPr>
        <w:t xml:space="preserve">VI. Список посилань на регульовану інформацію, </w:t>
      </w:r>
      <w:r>
        <w:rPr>
          <w:rFonts w:ascii="Times New Roman" w:hAnsi="Times New Roman" w:eastAsia="Times New Roman"/>
          <w:b/>
          <w:bCs/>
          <w:kern w:val="0"/>
          <w:sz w:val="28"/>
          <w:szCs w:val="28"/>
          <w:lang w:val="uk-ua" w:eastAsia="uk-ua"/>
        </w:rPr>
        <w:br w:type="textWrapping"/>
        <w:t>яка була розкрита протягом звітного року</w:t>
      </w:r>
      <w:r/>
      <w:bookmarkEnd w:id="18"/>
      <w:r/>
      <w:r>
        <w:rPr>
          <w:rFonts w:ascii="Times New Roman" w:hAnsi="Times New Roman" w:eastAsia="Times New Roman"/>
          <w:b/>
          <w:bCs/>
          <w:kern w:val="0"/>
          <w:sz w:val="28"/>
          <w:szCs w:val="28"/>
          <w:lang w:val="uk-ua" w:eastAsia="uk-ua"/>
        </w:rPr>
      </w:r>
    </w:p>
    <w:p>
      <w:pPr>
        <w:spacing w:after="60"/>
        <w:keepNext/>
        <w:outlineLvl w:val="0"/>
        <w:rPr>
          <w:rFonts w:ascii="Times New Roman" w:hAnsi="Times New Roman" w:eastAsia="Times New Roman"/>
          <w:b/>
          <w:bCs/>
          <w:kern w:val="0"/>
          <w:sz w:val="26"/>
          <w:szCs w:val="26"/>
          <w:lang w:val="uk-ua" w:eastAsia="uk-ua"/>
        </w:rPr>
      </w:pPr>
      <w:r/>
      <w:bookmarkStart w:id="19" w:name="_Toc210042944"/>
      <w:r/>
      <w:r>
        <w:rPr>
          <w:rFonts w:ascii="Times New Roman" w:hAnsi="Times New Roman" w:eastAsia="Times New Roman"/>
          <w:b/>
          <w:bCs/>
          <w:kern w:val="0"/>
          <w:sz w:val="26"/>
          <w:szCs w:val="26"/>
          <w:lang w:val="uk-ua" w:eastAsia="uk-ua"/>
        </w:rPr>
        <w:t>1. Проміжна інформація</w:t>
      </w:r>
      <w:r/>
      <w:bookmarkEnd w:id="19"/>
      <w:r/>
      <w:r>
        <w:rPr>
          <w:rFonts w:ascii="Times New Roman" w:hAnsi="Times New Roman" w:eastAsia="Times New Roman"/>
          <w:b/>
          <w:bCs/>
          <w:kern w:val="0"/>
          <w:sz w:val="26"/>
          <w:szCs w:val="26"/>
          <w:lang w:val="uk-ua" w:eastAsia="uk-ua"/>
        </w:rPr>
      </w:r>
    </w:p>
    <w:p>
      <w:pPr>
        <w:ind w:firstLine="283"/>
        <w:spacing w:after="0" w:line="257" w:lineRule="auto"/>
        <w:suppressAutoHyphens/>
        <w:hyphenationLines w:val="0"/>
        <w:widowControl w:val="0"/>
        <w:tabs defTabSz="708">
          <w:tab w:val="right" w:pos="7710" w:leader="none"/>
          <w:tab w:val="right" w:pos="11514" w:leader="none"/>
        </w:tabs>
        <w:rPr>
          <w:rFonts w:ascii="Times New Roman" w:hAnsi="Times New Roman" w:eastAsia="Times New Roman"/>
          <w:color w:val="000000"/>
          <w:sz w:val="20"/>
          <w:szCs w:val="20"/>
          <w:lang w:val="en-us" w:eastAsia="uk-ua"/>
        </w:rPr>
      </w:pPr>
      <w:r>
        <w:rPr>
          <w:rFonts w:ascii="Times New Roman" w:hAnsi="Times New Roman" w:eastAsia="Times New Roman"/>
          <w:color w:val="000000"/>
          <w:sz w:val="20"/>
          <w:szCs w:val="20"/>
          <w:lang w:val="en-us" w:eastAsia="uk-ua"/>
        </w:rPr>
        <w:t xml:space="preserve"> </w:t>
      </w:r>
    </w:p>
    <w:p>
      <w:pPr>
        <w:spacing w:after="0"/>
        <w:keepNext/>
        <w:outlineLvl w:val="0"/>
        <w:rPr>
          <w:rFonts w:ascii="Times New Roman" w:hAnsi="Times New Roman" w:eastAsia="Times New Roman"/>
          <w:b/>
          <w:bCs/>
          <w:kern w:val="0"/>
          <w:sz w:val="26"/>
          <w:szCs w:val="26"/>
          <w:lang w:val="uk-ua" w:eastAsia="uk-ua"/>
        </w:rPr>
      </w:pPr>
      <w:r/>
      <w:bookmarkStart w:id="20" w:name="_Toc210042945"/>
      <w:r/>
      <w:r>
        <w:rPr>
          <w:rFonts w:ascii="Times New Roman" w:hAnsi="Times New Roman" w:eastAsia="Times New Roman"/>
          <w:b/>
          <w:bCs/>
          <w:kern w:val="0"/>
          <w:sz w:val="26"/>
          <w:szCs w:val="26"/>
          <w:lang w:val="uk-ua" w:eastAsia="uk-ua"/>
        </w:rPr>
        <w:t>2. Особлива інформація</w:t>
      </w:r>
      <w:r/>
      <w:bookmarkEnd w:id="20"/>
      <w:r/>
      <w:r>
        <w:rPr>
          <w:rFonts w:ascii="Times New Roman" w:hAnsi="Times New Roman" w:eastAsia="Times New Roman"/>
          <w:b/>
          <w:bCs/>
          <w:kern w:val="0"/>
          <w:sz w:val="26"/>
          <w:szCs w:val="26"/>
          <w:lang w:val="uk-ua" w:eastAsia="uk-ua"/>
        </w:rPr>
      </w:r>
    </w:p>
    <w:tbl>
      <w:tblPr>
        <w:tblStyle w:val="NormalTable"/>
        <w:name w:val="Таблица52"/>
        <w:tabOrder w:val="0"/>
        <w:jc w:val="left"/>
        <w:tblInd w:w="0" w:type="dxa"/>
        <w:tblW w:w="16113" w:type="dxa"/>
        <w:tblLook w:val="0000" w:firstRow="0" w:lastRow="0" w:firstColumn="0" w:lastColumn="0" w:noHBand="0" w:noVBand="0"/>
      </w:tblPr>
      <w:tblGrid>
        <w:gridCol w:w="838"/>
        <w:gridCol w:w="5575"/>
        <w:gridCol w:w="2965"/>
        <w:gridCol w:w="6735"/>
      </w:tblGrid>
      <w:tr>
        <w:trPr>
          <w:cantSplit w:val="0"/>
          <w:trHeight w:val="60" w:hRule="atLeast"/>
        </w:trPr>
        <w:tc>
          <w:tcPr>
            <w:tcW w:w="26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з/п</w:t>
            </w:r>
          </w:p>
        </w:tc>
        <w:tc>
          <w:tcPr>
            <w:tcW w:w="17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Вид особливої інформації</w:t>
            </w:r>
          </w:p>
        </w:tc>
        <w:tc>
          <w:tcPr>
            <w:tcW w:w="9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Дата розкриття інформації</w:t>
            </w:r>
          </w:p>
        </w:tc>
        <w:tc>
          <w:tcPr>
            <w:tcW w:w="209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URL-адреси, за якими розміщена інформація, яка розкривалася протягом звітного року</w:t>
            </w:r>
          </w:p>
        </w:tc>
      </w:tr>
      <w:tr>
        <w:trPr>
          <w:cantSplit w:val="0"/>
          <w:trHeight w:val="60" w:hRule="atLeast"/>
        </w:trPr>
        <w:tc>
          <w:tcPr>
            <w:tcW w:w="26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1</w:t>
            </w:r>
          </w:p>
        </w:tc>
        <w:tc>
          <w:tcPr>
            <w:tcW w:w="17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en-us" w:eastAsia="uk-ua"/>
              </w:rPr>
              <w:t xml:space="preserve">                                                     </w:t>
            </w:r>
            <w:r>
              <w:rPr>
                <w:rFonts w:ascii="Times New Roman" w:hAnsi="Times New Roman" w:eastAsia="Times New Roman"/>
                <w:b/>
                <w:color w:val="000000"/>
                <w:sz w:val="20"/>
                <w:szCs w:val="24"/>
                <w:lang w:val="uk-ua" w:eastAsia="uk-ua"/>
              </w:rPr>
              <w:t>2</w:t>
            </w:r>
            <w:r>
              <w:rPr>
                <w:rFonts w:ascii="Times New Roman" w:hAnsi="Times New Roman" w:eastAsia="Times New Roman"/>
                <w:b/>
                <w:color w:val="000000"/>
                <w:sz w:val="20"/>
                <w:szCs w:val="24"/>
                <w:lang w:val="uk-ua" w:eastAsia="uk-ua"/>
              </w:rPr>
            </w:r>
          </w:p>
        </w:tc>
        <w:tc>
          <w:tcPr>
            <w:tcW w:w="9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3</w:t>
            </w:r>
          </w:p>
        </w:tc>
        <w:tc>
          <w:tcPr>
            <w:tcW w:w="209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en-us" w:eastAsia="uk-ua"/>
              </w:rPr>
              <w:t xml:space="preserve">                                                              </w:t>
            </w:r>
            <w:r>
              <w:rPr>
                <w:rFonts w:ascii="Times New Roman" w:hAnsi="Times New Roman" w:eastAsia="Times New Roman"/>
                <w:b/>
                <w:color w:val="000000"/>
                <w:sz w:val="20"/>
                <w:szCs w:val="24"/>
                <w:lang w:val="uk-ua" w:eastAsia="uk-ua"/>
              </w:rPr>
              <w:t>4</w:t>
            </w:r>
            <w:r>
              <w:rPr>
                <w:rFonts w:ascii="Times New Roman" w:hAnsi="Times New Roman" w:eastAsia="Times New Roman"/>
                <w:b/>
                <w:color w:val="000000"/>
                <w:sz w:val="20"/>
                <w:szCs w:val="24"/>
                <w:lang w:val="uk-ua" w:eastAsia="uk-ua"/>
              </w:rPr>
            </w:r>
          </w:p>
        </w:tc>
      </w:tr>
      <w:tr>
        <w:trPr>
          <w:cantSplit w:val="0"/>
          <w:trHeight w:val="60" w:hRule="atLeast"/>
        </w:trPr>
        <w:tc>
          <w:tcPr>
            <w:tcW w:w="26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1</w:t>
            </w:r>
          </w:p>
        </w:tc>
        <w:tc>
          <w:tcPr>
            <w:tcW w:w="17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r>
          </w:p>
        </w:tc>
        <w:tc>
          <w:tcPr>
            <w:tcW w:w="9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color w:val="000000"/>
                <w:sz w:val="20"/>
                <w:szCs w:val="24"/>
                <w:lang w:val="uk-ua" w:eastAsia="uk-ua"/>
              </w:rPr>
            </w:pPr>
            <w:r>
              <w:rPr>
                <w:rFonts w:ascii="Times New Roman" w:hAnsi="Times New Roman" w:eastAsia="Times New Roman"/>
                <w:color w:val="000000"/>
                <w:sz w:val="20"/>
                <w:szCs w:val="24"/>
                <w:lang w:val="uk-ua" w:eastAsia="uk-ua"/>
              </w:rPr>
              <w:t>04.05.2023</w:t>
            </w:r>
          </w:p>
        </w:tc>
        <w:tc>
          <w:tcPr>
            <w:tcW w:w="209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color w:val="000000"/>
                <w:sz w:val="20"/>
                <w:szCs w:val="24"/>
                <w:lang w:val="en-us" w:eastAsia="uk-ua"/>
              </w:rPr>
            </w:pPr>
            <w:r>
              <w:rPr>
                <w:rFonts w:ascii="Times New Roman" w:hAnsi="Times New Roman" w:eastAsia="Times New Roman"/>
                <w:color w:val="000000"/>
                <w:sz w:val="20"/>
                <w:szCs w:val="24"/>
                <w:lang w:val="en-us" w:eastAsia="uk-ua"/>
              </w:rPr>
              <w:t>https://fakel.pat.ua</w:t>
            </w:r>
          </w:p>
        </w:tc>
      </w:tr>
    </w:tbl>
    <w:p>
      <w:pPr>
        <w:ind w:firstLine="283"/>
        <w:spacing w:after="0" w:line="257" w:lineRule="auto"/>
        <w:jc w:val="both"/>
        <w:suppressAutoHyphens/>
        <w:hyphenationLines w:val="0"/>
        <w:widowControl w:val="0"/>
        <w:tabs defTabSz="708">
          <w:tab w:val="right" w:pos="7710" w:leader="none"/>
          <w:tab w:val="right" w:pos="11514" w:leader="none"/>
        </w:tabs>
        <w:rPr>
          <w:rFonts w:ascii="Times New Roman" w:hAnsi="Times New Roman" w:eastAsia="Times New Roman"/>
          <w:color w:val="000000"/>
          <w:sz w:val="24"/>
          <w:szCs w:val="24"/>
          <w:lang w:val="uk-ua" w:eastAsia="uk-ua"/>
        </w:rPr>
      </w:pPr>
      <w:r>
        <w:rPr>
          <w:rFonts w:ascii="Times New Roman" w:hAnsi="Times New Roman" w:eastAsia="Times New Roman"/>
          <w:color w:val="000000"/>
          <w:sz w:val="24"/>
          <w:szCs w:val="24"/>
          <w:lang w:val="uk-ua" w:eastAsia="uk-ua"/>
        </w:rPr>
      </w:r>
    </w:p>
    <w:p>
      <w:pPr>
        <w:spacing w:after="0"/>
        <w:keepNext/>
        <w:outlineLvl w:val="0"/>
        <w:rPr>
          <w:rFonts w:ascii="Times New Roman" w:hAnsi="Times New Roman" w:eastAsia="Times New Roman"/>
          <w:b/>
          <w:bCs/>
          <w:kern w:val="0"/>
          <w:sz w:val="26"/>
          <w:szCs w:val="26"/>
          <w:lang w:val="uk-ua" w:eastAsia="uk-ua"/>
        </w:rPr>
      </w:pPr>
      <w:r/>
      <w:bookmarkStart w:id="21" w:name="_Toc210042946"/>
      <w:r/>
      <w:r>
        <w:rPr>
          <w:rFonts w:ascii="Times New Roman" w:hAnsi="Times New Roman" w:eastAsia="Times New Roman"/>
          <w:b/>
          <w:bCs/>
          <w:kern w:val="0"/>
          <w:sz w:val="26"/>
          <w:szCs w:val="26"/>
          <w:lang w:val="uk-ua" w:eastAsia="uk-ua"/>
        </w:rPr>
        <w:t>3. Інша інформація</w:t>
      </w:r>
      <w:r/>
      <w:bookmarkEnd w:id="21"/>
      <w:r/>
      <w:r>
        <w:rPr>
          <w:rFonts w:ascii="Times New Roman" w:hAnsi="Times New Roman" w:eastAsia="Times New Roman"/>
          <w:b/>
          <w:bCs/>
          <w:kern w:val="0"/>
          <w:sz w:val="26"/>
          <w:szCs w:val="26"/>
          <w:lang w:val="uk-ua" w:eastAsia="uk-ua"/>
        </w:rPr>
      </w:r>
    </w:p>
    <w:tbl>
      <w:tblPr>
        <w:tblStyle w:val="NormalTable"/>
        <w:name w:val="Таблица53"/>
        <w:tabOrder w:val="0"/>
        <w:jc w:val="left"/>
        <w:tblInd w:w="0" w:type="dxa"/>
        <w:tblW w:w="16113" w:type="dxa"/>
        <w:tblLook w:val="0000" w:firstRow="0" w:lastRow="0" w:firstColumn="0" w:lastColumn="0" w:noHBand="0" w:noVBand="0"/>
      </w:tblPr>
      <w:tblGrid>
        <w:gridCol w:w="838"/>
        <w:gridCol w:w="5575"/>
        <w:gridCol w:w="2965"/>
        <w:gridCol w:w="6735"/>
      </w:tblGrid>
      <w:tr>
        <w:trPr>
          <w:cantSplit w:val="0"/>
          <w:trHeight w:val="60" w:hRule="atLeast"/>
        </w:trPr>
        <w:tc>
          <w:tcPr>
            <w:tcW w:w="26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 з/п</w:t>
            </w:r>
          </w:p>
        </w:tc>
        <w:tc>
          <w:tcPr>
            <w:tcW w:w="17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Вид іншої інформації</w:t>
            </w:r>
          </w:p>
        </w:tc>
        <w:tc>
          <w:tcPr>
            <w:tcW w:w="9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Дата розкриття інформації</w:t>
            </w:r>
          </w:p>
        </w:tc>
        <w:tc>
          <w:tcPr>
            <w:tcW w:w="209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URL-адреси, за якими розміщена інформація, яка розкривалася протягом звітного року</w:t>
            </w:r>
          </w:p>
        </w:tc>
      </w:tr>
      <w:tr>
        <w:trPr>
          <w:cantSplit w:val="0"/>
          <w:trHeight w:val="60" w:hRule="atLeast"/>
        </w:trPr>
        <w:tc>
          <w:tcPr>
            <w:tcW w:w="26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1</w:t>
            </w:r>
          </w:p>
        </w:tc>
        <w:tc>
          <w:tcPr>
            <w:tcW w:w="173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en-us" w:eastAsia="uk-ua"/>
              </w:rPr>
              <w:t xml:space="preserve">                                                      </w:t>
            </w:r>
            <w:r>
              <w:rPr>
                <w:rFonts w:ascii="Times New Roman" w:hAnsi="Times New Roman" w:eastAsia="Times New Roman"/>
                <w:b/>
                <w:color w:val="000000"/>
                <w:sz w:val="20"/>
                <w:szCs w:val="24"/>
                <w:lang w:val="uk-ua" w:eastAsia="uk-ua"/>
              </w:rPr>
              <w:t>2</w:t>
            </w:r>
            <w:r>
              <w:rPr>
                <w:rFonts w:ascii="Times New Roman" w:hAnsi="Times New Roman" w:eastAsia="Times New Roman"/>
                <w:b/>
                <w:color w:val="000000"/>
                <w:sz w:val="20"/>
                <w:szCs w:val="24"/>
                <w:lang w:val="uk-ua" w:eastAsia="uk-ua"/>
              </w:rPr>
            </w:r>
          </w:p>
        </w:tc>
        <w:tc>
          <w:tcPr>
            <w:tcW w:w="92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jc w:val="center"/>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uk-ua" w:eastAsia="uk-ua"/>
              </w:rPr>
              <w:t>3</w:t>
            </w:r>
          </w:p>
        </w:tc>
        <w:tc>
          <w:tcPr>
            <w:tcW w:w="2090" w:type="pct"/>
            <w:vAlign w:val="center"/>
            <w:tcMar>
              <w:top w:w="57" w:type="dxa"/>
              <w:left w:w="57" w:type="dxa"/>
              <w:bottom w:w="71" w:type="dxa"/>
              <w:right w:w="5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57" w:lineRule="auto"/>
              <w:suppressAutoHyphens/>
              <w:hyphenationLines w:val="0"/>
              <w:widowControl w:val="0"/>
              <w:tabs defTabSz="708">
                <w:tab w:val="right" w:pos="6350" w:leader="none"/>
              </w:tabs>
              <w:rPr>
                <w:rFonts w:ascii="Times New Roman" w:hAnsi="Times New Roman" w:eastAsia="Times New Roman"/>
                <w:b/>
                <w:color w:val="000000"/>
                <w:sz w:val="20"/>
                <w:szCs w:val="24"/>
                <w:lang w:val="uk-ua" w:eastAsia="uk-ua"/>
              </w:rPr>
            </w:pPr>
            <w:r>
              <w:rPr>
                <w:rFonts w:ascii="Times New Roman" w:hAnsi="Times New Roman" w:eastAsia="Times New Roman"/>
                <w:b/>
                <w:color w:val="000000"/>
                <w:sz w:val="20"/>
                <w:szCs w:val="24"/>
                <w:lang w:val="en-us" w:eastAsia="uk-ua"/>
              </w:rPr>
              <w:t xml:space="preserve">                                                              </w:t>
            </w:r>
            <w:r>
              <w:rPr>
                <w:rFonts w:ascii="Times New Roman" w:hAnsi="Times New Roman" w:eastAsia="Times New Roman"/>
                <w:b/>
                <w:color w:val="000000"/>
                <w:sz w:val="20"/>
                <w:szCs w:val="24"/>
                <w:lang w:val="uk-ua" w:eastAsia="uk-ua"/>
              </w:rPr>
              <w:t>4</w:t>
            </w:r>
            <w:r>
              <w:rPr>
                <w:rFonts w:ascii="Times New Roman" w:hAnsi="Times New Roman" w:eastAsia="Times New Roman"/>
                <w:b/>
                <w:color w:val="000000"/>
                <w:sz w:val="20"/>
                <w:szCs w:val="24"/>
                <w:lang w:val="uk-ua" w:eastAsia="uk-ua"/>
              </w:rPr>
            </w:r>
          </w:p>
        </w:tc>
      </w:tr>
    </w:tbl>
    <w:p>
      <w:pPr>
        <w:rPr>
          <w:rFonts w:eastAsia="Times New Roman"/>
          <w:lang w:val="uk-ua" w:eastAsia="uk-ua"/>
        </w:rPr>
      </w:pPr>
      <w:r>
        <w:rPr>
          <w:rFonts w:eastAsia="Times New Roman"/>
          <w:lang w:val="uk-ua" w:eastAsia="uk-ua"/>
        </w:rPr>
      </w:r>
    </w:p>
    <w:p>
      <w:pPr>
        <w:sectPr>
          <w:footnotePr>
            <w:pos w:val="pageBottom"/>
            <w:numFmt w:val="decimal"/>
            <w:numStart w:val="1"/>
            <w:numRestart w:val="continuous"/>
          </w:footnotePr>
          <w:endnotePr>
            <w:pos w:val="docEnd"/>
            <w:numFmt w:val="lowerRoman"/>
            <w:numStart w:val="1"/>
            <w:numRestart w:val="continuous"/>
          </w:endnotePr>
          <w:headerReference w:type="default" r:id="rId36"/>
          <w:footerReference w:type="default" r:id="rId37"/>
          <w:type w:val="nextPage"/>
          <w:pgSz w:h="11906" w:w="16838" w:orient="landscape"/>
          <w:pgMar w:left="363" w:top="567" w:right="363" w:bottom="567" w:header="709" w:footer="709"/>
          <w:paperSrc w:first="0" w:other="0" a="0" b="0"/>
          <w:pgNumType w:fmt="decimal"/>
          <w:tmGutter w:val="3"/>
          <w:mirrorMargins w:val="0"/>
          <w:tmSection w:h="-1">
            <w:tmHeader w:id="0" w:h="0" edge="709"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ind w:firstLine="567"/>
        <w:spacing w:after="0" w:line="240" w:lineRule="auto"/>
        <w:jc w:val="right"/>
        <w:widowControl w:val="0"/>
        <w:rPr>
          <w:rFonts w:ascii="Times New Roman" w:hAnsi="Times New Roman" w:eastAsia="Times New Roman"/>
          <w:b/>
          <w:lang w:val="en-us" w:eastAsia="ru-ru"/>
        </w:rPr>
      </w:pPr>
      <w:r>
        <w:rPr>
          <w:rFonts w:ascii="Times New Roman" w:hAnsi="Times New Roman" w:eastAsia="Times New Roman"/>
          <w:b/>
          <w:lang w:val="en-us" w:eastAsia="ru-ru"/>
        </w:rPr>
      </w:r>
    </w:p>
    <w:p>
      <w:pPr>
        <w:spacing w:after="0" w:line="240" w:lineRule="auto"/>
        <w:jc w:val="center"/>
        <w:widowControl w:val="0"/>
        <w:rPr>
          <w:rFonts w:ascii="Times New Roman" w:hAnsi="Times New Roman" w:eastAsia="Times New Roman"/>
          <w:b/>
          <w:bCs/>
          <w:color w:val="000000"/>
          <w:sz w:val="28"/>
          <w:szCs w:val="28"/>
          <w:lang w:val="uk-ua" w:eastAsia="ru-ru"/>
        </w:rPr>
      </w:pPr>
      <w:r>
        <w:rPr>
          <w:rFonts w:ascii="Times New Roman" w:hAnsi="Times New Roman" w:eastAsia="Times New Roman"/>
          <w:b/>
          <w:bCs/>
          <w:color w:val="000000"/>
          <w:sz w:val="28"/>
          <w:szCs w:val="28"/>
          <w:lang w:val="uk-ua" w:eastAsia="ru-ru"/>
        </w:rPr>
        <w:t xml:space="preserve">Фінансова звітність </w:t>
      </w:r>
    </w:p>
    <w:p>
      <w:pPr>
        <w:spacing w:after="0" w:line="240" w:lineRule="auto"/>
        <w:jc w:val="center"/>
        <w:widowControl w:val="0"/>
        <w:rPr>
          <w:rFonts w:ascii="Times New Roman" w:hAnsi="Times New Roman" w:eastAsia="Times New Roman"/>
          <w:b/>
          <w:bCs/>
          <w:sz w:val="28"/>
          <w:szCs w:val="28"/>
          <w:lang w:val="uk-ua" w:eastAsia="ru-ru"/>
        </w:rPr>
      </w:pPr>
      <w:r>
        <w:rPr>
          <w:rFonts w:ascii="Times New Roman" w:hAnsi="Times New Roman" w:eastAsia="Times New Roman"/>
          <w:b/>
          <w:bCs/>
          <w:sz w:val="28"/>
          <w:szCs w:val="28"/>
          <w:lang w:val="uk-ua" w:eastAsia="ru-ru"/>
        </w:rPr>
        <w:t>малого підприємства</w:t>
      </w:r>
    </w:p>
    <w:tbl>
      <w:tblPr>
        <w:tblStyle w:val="NormalTable"/>
        <w:name w:val="Таблица54"/>
        <w:tabOrder w:val="0"/>
        <w:jc w:val="left"/>
        <w:tblInd w:w="-34" w:type="dxa"/>
        <w:tblW w:w="9956" w:type="dxa"/>
        <w:tblLook w:val="00A0" w:firstRow="1" w:lastRow="0" w:firstColumn="1" w:lastColumn="0" w:noHBand="0" w:noVBand="0"/>
      </w:tblPr>
      <w:tblGrid>
        <w:gridCol w:w="6016"/>
        <w:gridCol w:w="1935"/>
        <w:gridCol w:w="668"/>
        <w:gridCol w:w="669"/>
        <w:gridCol w:w="668"/>
      </w:tblGrid>
      <w:tr>
        <w:trPr>
          <w:cantSplit w:val="0"/>
          <w:trHeight w:val="0" w:hRule="auto"/>
        </w:trPr>
        <w:tc>
          <w:tcPr>
            <w:tcW w:w="6016" w:type="dxa"/>
            <w:tmTcPr id="1759223788"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r>
          </w:p>
        </w:tc>
        <w:tc>
          <w:tcPr>
            <w:tcW w:w="1935" w:type="dxa"/>
            <w:tmTcPr id="1759223788" protected="0"/>
          </w:tcPr>
          <w:p>
            <w:pPr>
              <w:spacing w:after="0" w:line="240" w:lineRule="auto"/>
              <w:jc w:val="center"/>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r>
          </w:p>
        </w:tc>
        <w:tc>
          <w:tcPr>
            <w:tcW w:w="2005" w:type="dxa"/>
            <w:gridSpan w:val="3"/>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18"/>
                <w:szCs w:val="18"/>
                <w:lang w:eastAsia="ru-ru"/>
              </w:rPr>
            </w:pPr>
            <w:r>
              <w:rPr>
                <w:rFonts w:ascii="Times New Roman" w:hAnsi="Times New Roman" w:eastAsia="Times New Roman"/>
                <w:sz w:val="18"/>
                <w:szCs w:val="18"/>
                <w:lang w:val="uk-ua" w:eastAsia="ru-ru"/>
              </w:rPr>
              <w:t>Коди</w:t>
            </w:r>
            <w:r>
              <w:rPr>
                <w:rFonts w:ascii="Times New Roman" w:hAnsi="Times New Roman" w:eastAsia="Times New Roman"/>
                <w:sz w:val="18"/>
                <w:szCs w:val="18"/>
                <w:lang w:eastAsia="ru-ru"/>
              </w:rPr>
            </w:r>
          </w:p>
        </w:tc>
      </w:tr>
      <w:tr>
        <w:trPr>
          <w:cantSplit w:val="0"/>
          <w:trHeight w:val="0" w:hRule="auto"/>
        </w:trPr>
        <w:tc>
          <w:tcPr>
            <w:tcW w:w="6016" w:type="dxa"/>
            <w:tmTcPr id="1759223788"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r>
          </w:p>
        </w:tc>
        <w:tc>
          <w:tcPr>
            <w:tcW w:w="1935" w:type="dxa"/>
            <w:tmTcPr id="1759223788" protected="0"/>
          </w:tcPr>
          <w:p>
            <w:pPr>
              <w:spacing w:after="0" w:line="240" w:lineRule="auto"/>
              <w:jc w:val="center"/>
              <w:widowControl w:val="0"/>
              <w:rPr>
                <w:rFonts w:ascii="Times New Roman" w:hAnsi="Times New Roman" w:eastAsia="Times New Roman"/>
                <w:sz w:val="16"/>
                <w:szCs w:val="16"/>
                <w:lang w:eastAsia="ru-ru"/>
              </w:rPr>
            </w:pPr>
            <w:r>
              <w:rPr>
                <w:rFonts w:ascii="Times New Roman" w:hAnsi="Times New Roman" w:eastAsia="Times New Roman"/>
                <w:sz w:val="16"/>
                <w:szCs w:val="16"/>
                <w:lang w:val="uk-ua" w:eastAsia="ru-ru"/>
              </w:rPr>
              <w:t>Дата (рік, місяць,  число)</w:t>
            </w:r>
            <w:r>
              <w:rPr>
                <w:rFonts w:ascii="Times New Roman" w:hAnsi="Times New Roman" w:eastAsia="Times New Roman"/>
                <w:sz w:val="16"/>
                <w:szCs w:val="16"/>
                <w:lang w:eastAsia="ru-ru"/>
              </w:rPr>
            </w:r>
          </w:p>
        </w:tc>
        <w:tc>
          <w:tcPr>
            <w:tcW w:w="668"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18"/>
                <w:szCs w:val="18"/>
                <w:lang w:val="en-us" w:eastAsia="ru-ru"/>
              </w:rPr>
            </w:pPr>
            <w:r>
              <w:rPr>
                <w:rFonts w:ascii="Times New Roman" w:hAnsi="Times New Roman" w:eastAsia="Times New Roman"/>
                <w:sz w:val="18"/>
                <w:szCs w:val="18"/>
                <w:lang w:val="en-us" w:eastAsia="ru-ru"/>
              </w:rPr>
              <w:t>2024</w:t>
            </w:r>
          </w:p>
        </w:tc>
        <w:tc>
          <w:tcPr>
            <w:tcW w:w="669" w:type="dxa"/>
            <w:tcBorders>
              <w:top w:val="nil" w:sz="0" w:space="0" w:color="000000" tmln="20, 20, 20, 0, 0"/>
              <w:left w:val="single" w:sz="6" w:space="0" w:color="000000" tmln="15, 20, 20, 0, 0"/>
              <w:bottom w:val="nil" w:sz="0" w:space="0" w:color="000000" tmln="20, 20, 20, 0, 0"/>
              <w:right w:val="single" w:sz="6" w:space="0" w:color="000000" tmln="15, 20, 20, 0, 0"/>
            </w:tcBorders>
            <w:tmTcPr id="1759223788" protected="0"/>
          </w:tcPr>
          <w:p>
            <w:pPr>
              <w:spacing w:after="0" w:line="240" w:lineRule="auto"/>
              <w:widowControl w:val="0"/>
              <w:rPr>
                <w:rFonts w:ascii="Times New Roman" w:hAnsi="Times New Roman" w:eastAsia="Times New Roman"/>
                <w:bCs/>
                <w:sz w:val="18"/>
                <w:szCs w:val="18"/>
                <w:lang w:val="en-us" w:eastAsia="ru-ru"/>
              </w:rPr>
            </w:pPr>
            <w:r>
              <w:rPr>
                <w:rFonts w:ascii="Times New Roman" w:hAnsi="Times New Roman" w:eastAsia="Times New Roman"/>
                <w:bCs/>
                <w:sz w:val="18"/>
                <w:szCs w:val="18"/>
                <w:lang w:val="en-us" w:eastAsia="ru-ru"/>
              </w:rPr>
              <w:t>01</w:t>
            </w:r>
          </w:p>
        </w:tc>
        <w:tc>
          <w:tcPr>
            <w:tcW w:w="669" w:type="dxa"/>
            <w:tcBorders>
              <w:top w:val="nil" w:sz="0" w:space="0" w:color="000000" tmln="20, 20, 20, 0, 0"/>
              <w:left w:val="single" w:sz="6" w:space="0" w:color="000000" tmln="15, 20, 20, 0, 0"/>
              <w:bottom w:val="nil" w:sz="0" w:space="0" w:color="000000" tmln="20, 20, 20, 0, 0"/>
              <w:right w:val="single" w:sz="6" w:space="0" w:color="000000" tmln="15, 20, 20, 0, 0"/>
            </w:tcBorders>
            <w:tmTcPr id="1759223788" protected="0"/>
          </w:tcPr>
          <w:p>
            <w:pPr>
              <w:spacing w:after="0" w:line="240" w:lineRule="auto"/>
              <w:widowControl w:val="0"/>
              <w:rPr>
                <w:rFonts w:ascii="Times New Roman" w:hAnsi="Times New Roman" w:eastAsia="Times New Roman"/>
                <w:bCs/>
                <w:sz w:val="18"/>
                <w:szCs w:val="18"/>
                <w:lang w:val="en-us" w:eastAsia="ru-ru"/>
              </w:rPr>
            </w:pPr>
            <w:r>
              <w:rPr>
                <w:rFonts w:ascii="Times New Roman" w:hAnsi="Times New Roman" w:eastAsia="Times New Roman"/>
                <w:bCs/>
                <w:sz w:val="18"/>
                <w:szCs w:val="18"/>
                <w:lang w:val="en-us" w:eastAsia="ru-ru"/>
              </w:rPr>
              <w:t>01</w:t>
            </w:r>
          </w:p>
        </w:tc>
      </w:tr>
      <w:tr>
        <w:trPr>
          <w:cantSplit w:val="0"/>
          <w:trHeight w:val="0" w:hRule="auto"/>
        </w:trPr>
        <w:tc>
          <w:tcPr>
            <w:tcW w:w="6016" w:type="dxa"/>
            <w:tmTcPr id="1759223788"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val="uk-ua" w:eastAsia="ru-ru"/>
              </w:rPr>
              <w:t xml:space="preserve">Підприємство  </w:t>
            </w:r>
            <w:r>
              <w:rPr>
                <w:rFonts w:ascii="Times New Roman" w:hAnsi="Times New Roman" w:eastAsia="Times New Roman"/>
                <w:sz w:val="18"/>
                <w:szCs w:val="18"/>
                <w:lang w:eastAsia="ru-ru"/>
              </w:rPr>
              <w:t xml:space="preserve"> </w:t>
            </w:r>
            <w:r>
              <w:rPr>
                <w:rFonts w:ascii="Times New Roman" w:hAnsi="Times New Roman" w:eastAsia="Times New Roman"/>
                <w:sz w:val="18"/>
                <w:szCs w:val="18"/>
                <w:u w:color="auto" w:val="single"/>
                <w:lang w:eastAsia="ru-ru"/>
              </w:rPr>
              <w:t>Приватне акціонерне товариство "Макіївський завод "ФАКЕЛ"</w:t>
            </w:r>
            <w:r>
              <w:rPr>
                <w:rFonts w:ascii="Times New Roman" w:hAnsi="Times New Roman" w:eastAsia="Times New Roman"/>
                <w:sz w:val="18"/>
                <w:szCs w:val="18"/>
                <w:lang w:eastAsia="ru-ru"/>
              </w:rPr>
            </w:r>
          </w:p>
        </w:tc>
        <w:tc>
          <w:tcPr>
            <w:tcW w:w="1935" w:type="dxa"/>
            <w:tmTcPr id="1759223788"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val="uk-ua" w:eastAsia="ru-ru"/>
              </w:rPr>
              <w:t>за ЄДРПОУ</w:t>
            </w:r>
            <w:r>
              <w:rPr>
                <w:rFonts w:ascii="Times New Roman" w:hAnsi="Times New Roman" w:eastAsia="Times New Roman"/>
                <w:sz w:val="18"/>
                <w:szCs w:val="18"/>
                <w:lang w:eastAsia="ru-ru"/>
              </w:rPr>
            </w:r>
          </w:p>
        </w:tc>
        <w:tc>
          <w:tcPr>
            <w:tcW w:w="2005" w:type="dxa"/>
            <w:gridSpan w:val="3"/>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18"/>
                <w:szCs w:val="18"/>
                <w:lang w:val="en-us" w:eastAsia="ru-ru"/>
              </w:rPr>
            </w:pPr>
            <w:r>
              <w:rPr>
                <w:rFonts w:ascii="Times New Roman" w:hAnsi="Times New Roman" w:eastAsia="Times New Roman"/>
                <w:sz w:val="18"/>
                <w:szCs w:val="18"/>
                <w:lang w:val="en-us" w:eastAsia="ru-ru"/>
              </w:rPr>
              <w:t>05781213</w:t>
            </w:r>
          </w:p>
        </w:tc>
      </w:tr>
      <w:tr>
        <w:trPr>
          <w:cantSplit w:val="0"/>
          <w:trHeight w:val="199" w:hRule="atLeast"/>
        </w:trPr>
        <w:tc>
          <w:tcPr>
            <w:tcW w:w="6016" w:type="dxa"/>
            <w:tmTcPr id="1759223788" protected="0"/>
          </w:tcPr>
          <w:p>
            <w:pPr>
              <w:spacing w:after="0" w:line="240" w:lineRule="auto"/>
              <w:widowControl w:val="0"/>
              <w:rPr>
                <w:rFonts w:ascii="Times New Roman" w:hAnsi="Times New Roman" w:eastAsia="Times New Roman"/>
                <w:sz w:val="18"/>
                <w:szCs w:val="18"/>
                <w:lang w:val="en-us" w:eastAsia="ru-ru"/>
              </w:rPr>
            </w:pPr>
            <w:r>
              <w:rPr>
                <w:rFonts w:ascii="Times New Roman" w:hAnsi="Times New Roman" w:eastAsia="Times New Roman"/>
                <w:sz w:val="18"/>
                <w:szCs w:val="18"/>
                <w:lang w:val="uk-ua" w:eastAsia="ru-ru"/>
              </w:rPr>
              <w:t xml:space="preserve">Територія </w:t>
            </w:r>
            <w:r>
              <w:rPr>
                <w:rFonts w:ascii="Times New Roman" w:hAnsi="Times New Roman" w:eastAsia="Times New Roman"/>
                <w:sz w:val="18"/>
                <w:szCs w:val="18"/>
                <w:lang w:val="en-us" w:eastAsia="ru-ru"/>
              </w:rPr>
              <w:t xml:space="preserve"> </w:t>
            </w:r>
            <w:r>
              <w:rPr>
                <w:rFonts w:ascii="Times New Roman" w:hAnsi="Times New Roman" w:eastAsia="Times New Roman"/>
                <w:sz w:val="18"/>
                <w:szCs w:val="18"/>
                <w:u w:color="auto" w:val="single"/>
                <w:lang w:val="en-us" w:eastAsia="ru-ru"/>
              </w:rPr>
              <w:t>ПЕЧЕРСЬКИЙ</w:t>
            </w:r>
            <w:r>
              <w:rPr>
                <w:rFonts w:ascii="Times New Roman" w:hAnsi="Times New Roman" w:eastAsia="Times New Roman"/>
                <w:sz w:val="18"/>
                <w:szCs w:val="18"/>
                <w:lang w:val="en-us" w:eastAsia="ru-ru"/>
              </w:rPr>
            </w:r>
          </w:p>
        </w:tc>
        <w:tc>
          <w:tcPr>
            <w:tcW w:w="1935" w:type="dxa"/>
            <w:tmTcPr id="1759223788"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val="uk-ua" w:eastAsia="ru-ru"/>
              </w:rPr>
              <w:t>за КАТОТТГ</w:t>
            </w:r>
            <w:r>
              <w:rPr>
                <w:rFonts w:ascii="Times New Roman" w:hAnsi="Times New Roman" w:eastAsia="Times New Roman"/>
                <w:sz w:val="18"/>
                <w:szCs w:val="18"/>
                <w:lang w:eastAsia="ru-ru"/>
              </w:rPr>
            </w:r>
          </w:p>
        </w:tc>
        <w:tc>
          <w:tcPr>
            <w:tcW w:w="2005" w:type="dxa"/>
            <w:gridSpan w:val="3"/>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18"/>
                <w:szCs w:val="18"/>
                <w:lang w:val="en-us" w:eastAsia="ru-ru"/>
              </w:rPr>
            </w:pPr>
            <w:r>
              <w:rPr>
                <w:rFonts w:ascii="Times New Roman" w:hAnsi="Times New Roman" w:eastAsia="Times New Roman"/>
                <w:sz w:val="18"/>
                <w:szCs w:val="18"/>
                <w:lang w:val="en-us" w:eastAsia="ru-ru"/>
              </w:rPr>
              <w:t>UA80000000000624772</w:t>
            </w:r>
          </w:p>
        </w:tc>
      </w:tr>
      <w:tr>
        <w:trPr>
          <w:cantSplit w:val="0"/>
          <w:trHeight w:val="199" w:hRule="atLeast"/>
        </w:trPr>
        <w:tc>
          <w:tcPr>
            <w:tcW w:w="6016" w:type="dxa"/>
            <w:tmTcPr id="1759223788"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val="uk-ua" w:eastAsia="ru-ru"/>
              </w:rPr>
              <w:t>Організаційно-правова форма господарювання</w:t>
            </w:r>
            <w:r>
              <w:rPr>
                <w:rFonts w:ascii="Times New Roman" w:hAnsi="Times New Roman" w:eastAsia="Times New Roman"/>
                <w:sz w:val="18"/>
                <w:szCs w:val="18"/>
                <w:lang w:eastAsia="ru-ru"/>
              </w:rPr>
              <w:t xml:space="preserve">  </w:t>
            </w:r>
            <w:r>
              <w:rPr>
                <w:rFonts w:ascii="Times New Roman" w:hAnsi="Times New Roman" w:eastAsia="Times New Roman"/>
                <w:sz w:val="18"/>
                <w:szCs w:val="18"/>
                <w:u w:color="auto" w:val="single"/>
                <w:lang w:eastAsia="ru-ru"/>
              </w:rPr>
              <w:t>Приватне акц</w:t>
            </w:r>
            <w:r>
              <w:rPr>
                <w:rFonts w:ascii="Times New Roman" w:hAnsi="Times New Roman" w:eastAsia="Times New Roman"/>
                <w:sz w:val="18"/>
                <w:szCs w:val="18"/>
                <w:u w:color="auto" w:val="single"/>
                <w:lang w:val="en-us" w:eastAsia="ru-ru"/>
              </w:rPr>
              <w:t>i</w:t>
            </w:r>
            <w:r>
              <w:rPr>
                <w:rFonts w:ascii="Times New Roman" w:hAnsi="Times New Roman" w:eastAsia="Times New Roman"/>
                <w:sz w:val="18"/>
                <w:szCs w:val="18"/>
                <w:u w:color="auto" w:val="single"/>
                <w:lang w:eastAsia="ru-ru"/>
              </w:rPr>
              <w:t>онерне товариство</w:t>
            </w:r>
            <w:r>
              <w:rPr>
                <w:rFonts w:ascii="Times New Roman" w:hAnsi="Times New Roman" w:eastAsia="Times New Roman"/>
                <w:sz w:val="18"/>
                <w:szCs w:val="18"/>
                <w:lang w:eastAsia="ru-ru"/>
              </w:rPr>
            </w:r>
          </w:p>
        </w:tc>
        <w:tc>
          <w:tcPr>
            <w:tcW w:w="1935" w:type="dxa"/>
            <w:tmTcPr id="1759223788" protected="0"/>
          </w:tcPr>
          <w:p>
            <w:pPr>
              <w:spacing w:after="0" w:line="240" w:lineRule="auto"/>
              <w:widowControl w:val="0"/>
              <w:rPr>
                <w:rFonts w:ascii="Times New Roman" w:hAnsi="Times New Roman" w:eastAsia="Times New Roman"/>
                <w:sz w:val="18"/>
                <w:szCs w:val="18"/>
                <w:lang w:val="uk-ua" w:eastAsia="ru-ru"/>
              </w:rPr>
            </w:pPr>
            <w:r>
              <w:rPr>
                <w:rFonts w:ascii="Times New Roman" w:hAnsi="Times New Roman" w:eastAsia="Times New Roman"/>
                <w:sz w:val="18"/>
                <w:szCs w:val="18"/>
                <w:lang w:val="uk-ua" w:eastAsia="ru-ru"/>
              </w:rPr>
              <w:t>за КОПФГ</w:t>
            </w:r>
          </w:p>
        </w:tc>
        <w:tc>
          <w:tcPr>
            <w:tcW w:w="2005" w:type="dxa"/>
            <w:gridSpan w:val="3"/>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18"/>
                <w:szCs w:val="18"/>
                <w:lang w:val="en-us" w:eastAsia="ru-ru"/>
              </w:rPr>
            </w:pPr>
            <w:r>
              <w:rPr>
                <w:rFonts w:ascii="Times New Roman" w:hAnsi="Times New Roman" w:eastAsia="Times New Roman"/>
                <w:sz w:val="18"/>
                <w:szCs w:val="18"/>
                <w:lang w:val="en-us" w:eastAsia="ru-ru"/>
              </w:rPr>
              <w:t>111</w:t>
            </w:r>
          </w:p>
        </w:tc>
      </w:tr>
      <w:tr>
        <w:trPr>
          <w:cantSplit w:val="0"/>
          <w:trHeight w:val="0" w:hRule="auto"/>
        </w:trPr>
        <w:tc>
          <w:tcPr>
            <w:tcW w:w="6016" w:type="dxa"/>
            <w:tmTcPr id="1759223788"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Вид економічної діяльності  </w:t>
            </w:r>
            <w:r>
              <w:rPr>
                <w:rFonts w:ascii="Times New Roman" w:hAnsi="Times New Roman" w:eastAsia="Times New Roman"/>
                <w:sz w:val="18"/>
                <w:szCs w:val="18"/>
                <w:u w:color="auto" w:val="single"/>
                <w:lang w:eastAsia="ru-ru"/>
              </w:rPr>
              <w:t>ВИРОБНИЦТВО ІНШИХ МАШИН І УСТАТКОВАННЯ ЗАГАЛЬНОГО ПРИЗНАЧЕННЯ, Н. В. І. У."</w:t>
            </w:r>
            <w:r>
              <w:rPr>
                <w:rFonts w:ascii="Times New Roman" w:hAnsi="Times New Roman" w:eastAsia="Times New Roman"/>
                <w:sz w:val="18"/>
                <w:szCs w:val="18"/>
                <w:lang w:eastAsia="ru-ru"/>
              </w:rPr>
            </w:r>
          </w:p>
        </w:tc>
        <w:tc>
          <w:tcPr>
            <w:tcW w:w="1935" w:type="dxa"/>
            <w:tcBorders>
              <w:top w:val="nil" w:sz="0" w:space="0" w:color="000000" tmln="20, 20, 20, 0, 0"/>
              <w:left w:val="nil" w:sz="0" w:space="0" w:color="000000" tmln="20, 20, 20, 0, 0"/>
              <w:bottom w:val="nil" w:sz="0" w:space="0" w:color="000000" tmln="20, 20, 20, 0, 0"/>
              <w:right w:val="single" w:sz="4" w:space="0" w:color="000000" tmln="10, 20, 20, 0, 0"/>
            </w:tcBorders>
            <w:tmTcPr id="1759223788"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val="uk-ua" w:eastAsia="ru-ru"/>
              </w:rPr>
              <w:t>за КВЕД</w:t>
            </w:r>
            <w:r>
              <w:rPr>
                <w:rFonts w:ascii="Times New Roman" w:hAnsi="Times New Roman" w:eastAsia="Times New Roman"/>
                <w:sz w:val="18"/>
                <w:szCs w:val="18"/>
                <w:lang w:eastAsia="ru-ru"/>
              </w:rPr>
            </w:r>
          </w:p>
        </w:tc>
        <w:tc>
          <w:tcPr>
            <w:tcW w:w="2005"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18"/>
                <w:szCs w:val="18"/>
                <w:lang w:val="en-us" w:eastAsia="ru-ru"/>
              </w:rPr>
            </w:pPr>
            <w:r>
              <w:rPr>
                <w:rFonts w:ascii="Times New Roman" w:hAnsi="Times New Roman" w:eastAsia="Times New Roman"/>
                <w:sz w:val="18"/>
                <w:szCs w:val="18"/>
                <w:lang w:val="en-us" w:eastAsia="ru-ru"/>
              </w:rPr>
              <w:t>28.29"</w:t>
            </w:r>
          </w:p>
        </w:tc>
      </w:tr>
      <w:tr>
        <w:trPr>
          <w:cantSplit w:val="0"/>
          <w:trHeight w:val="0" w:hRule="auto"/>
        </w:trPr>
        <w:tc>
          <w:tcPr>
            <w:tcW w:w="6016" w:type="dxa"/>
            <w:tmTcPr id="1759223788"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t>Середн</w:t>
            </w:r>
            <w:r>
              <w:rPr>
                <w:rFonts w:ascii="Times New Roman" w:hAnsi="Times New Roman" w:eastAsia="Times New Roman"/>
                <w:sz w:val="18"/>
                <w:szCs w:val="18"/>
                <w:lang w:val="uk-ua" w:eastAsia="ru-ru"/>
              </w:rPr>
              <w:t>я кількість працівників</w:t>
            </w:r>
            <w:r>
              <w:rPr>
                <w:rFonts w:ascii="Times New Roman" w:hAnsi="Times New Roman" w:eastAsia="Times New Roman"/>
                <w:sz w:val="18"/>
                <w:szCs w:val="18"/>
                <w:lang w:eastAsia="ru-ru"/>
              </w:rPr>
              <w:t xml:space="preserve">  </w:t>
            </w:r>
            <w:r>
              <w:rPr>
                <w:rFonts w:ascii="Times New Roman" w:hAnsi="Times New Roman" w:eastAsia="Times New Roman"/>
                <w:sz w:val="18"/>
                <w:szCs w:val="18"/>
                <w:u w:color="auto" w:val="single"/>
                <w:lang w:val="en-us" w:eastAsia="ru-ru"/>
              </w:rPr>
              <w:t>2</w:t>
            </w:r>
            <w:r>
              <w:rPr>
                <w:rFonts w:ascii="Times New Roman" w:hAnsi="Times New Roman" w:eastAsia="Times New Roman"/>
                <w:sz w:val="18"/>
                <w:szCs w:val="18"/>
                <w:lang w:eastAsia="ru-ru"/>
              </w:rPr>
            </w:r>
          </w:p>
        </w:tc>
        <w:tc>
          <w:tcPr>
            <w:tcW w:w="1935" w:type="dxa"/>
            <w:tmTcPr id="1759223788"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r>
          </w:p>
        </w:tc>
        <w:tc>
          <w:tcPr>
            <w:tcW w:w="2005" w:type="dxa"/>
            <w:gridSpan w:val="3"/>
            <w:tcBorders>
              <w:top w:val="single" w:sz="4" w:space="0" w:color="000000" tmln="10, 20, 20, 0, 0"/>
            </w:tcBorders>
            <w:tmTcPr id="1759223788" protected="0"/>
          </w:tcPr>
          <w:p>
            <w:pPr>
              <w:spacing w:after="0" w:line="240" w:lineRule="auto"/>
              <w:jc w:val="center"/>
              <w:widowControl w:val="0"/>
              <w:rPr>
                <w:rFonts w:ascii="Times New Roman" w:hAnsi="Times New Roman" w:eastAsia="Times New Roman"/>
                <w:sz w:val="18"/>
                <w:szCs w:val="18"/>
                <w:lang w:val="en-us" w:eastAsia="ru-ru"/>
              </w:rPr>
            </w:pPr>
            <w:r>
              <w:rPr>
                <w:rFonts w:ascii="Times New Roman" w:hAnsi="Times New Roman" w:eastAsia="Times New Roman"/>
                <w:sz w:val="18"/>
                <w:szCs w:val="18"/>
                <w:lang w:val="en-us" w:eastAsia="ru-ru"/>
              </w:rPr>
            </w:r>
          </w:p>
        </w:tc>
      </w:tr>
      <w:tr>
        <w:trPr>
          <w:cantSplit w:val="0"/>
          <w:trHeight w:val="0" w:hRule="auto"/>
        </w:trPr>
        <w:tc>
          <w:tcPr>
            <w:tcW w:w="6016" w:type="dxa"/>
            <w:tmTcPr id="1759223788"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val="uk-ua" w:eastAsia="ru-ru"/>
              </w:rPr>
              <w:t>Одиниця виміру</w:t>
            </w:r>
            <w:r>
              <w:rPr>
                <w:rFonts w:ascii="Times New Roman" w:hAnsi="Times New Roman" w:eastAsia="Times New Roman"/>
                <w:sz w:val="18"/>
                <w:szCs w:val="18"/>
                <w:lang w:eastAsia="ru-ru"/>
              </w:rPr>
              <w:t xml:space="preserve"> :</w:t>
            </w:r>
            <w:r>
              <w:rPr>
                <w:rFonts w:ascii="Times New Roman" w:hAnsi="Times New Roman" w:eastAsia="Times New Roman"/>
                <w:sz w:val="18"/>
                <w:szCs w:val="18"/>
                <w:lang w:val="uk-ua" w:eastAsia="ru-ru"/>
              </w:rPr>
              <w:t xml:space="preserve"> </w:t>
            </w:r>
            <w:r>
              <w:rPr>
                <w:rFonts w:ascii="Times New Roman" w:hAnsi="Times New Roman" w:eastAsia="Times New Roman"/>
                <w:color w:val="000000"/>
                <w:sz w:val="18"/>
                <w:szCs w:val="18"/>
                <w:lang w:eastAsia="ru-ru"/>
              </w:rPr>
              <w:t>тис. грн. з одним десятковим знаком</w:t>
            </w:r>
            <w:r>
              <w:rPr>
                <w:rFonts w:ascii="Times New Roman" w:hAnsi="Times New Roman" w:eastAsia="Times New Roman"/>
                <w:sz w:val="18"/>
                <w:szCs w:val="18"/>
                <w:lang w:eastAsia="ru-ru"/>
              </w:rPr>
            </w:r>
          </w:p>
        </w:tc>
        <w:tc>
          <w:tcPr>
            <w:tcW w:w="1935" w:type="dxa"/>
            <w:tcBorders>
              <w:top w:val="nil" w:sz="0" w:space="0" w:color="000000" tmln="20, 20, 20, 0, 0"/>
              <w:left w:val="nil" w:sz="0" w:space="0" w:color="000000" tmln="20, 20, 20, 0, 0"/>
              <w:bottom w:val="nil" w:sz="0" w:space="0" w:color="000000" tmln="20, 20, 20, 0, 0"/>
            </w:tcBorders>
            <w:tmTcPr id="1759223788" protected="0"/>
          </w:tcPr>
          <w:p>
            <w:pPr>
              <w:spacing w:after="0" w:line="240" w:lineRule="auto"/>
              <w:widowControl w:val="0"/>
              <w:rPr>
                <w:rFonts w:ascii="Times New Roman" w:hAnsi="Times New Roman" w:eastAsia="Times New Roman"/>
                <w:sz w:val="18"/>
                <w:szCs w:val="18"/>
                <w:lang w:val="uk-ua" w:eastAsia="ru-ru"/>
              </w:rPr>
            </w:pPr>
            <w:r>
              <w:rPr>
                <w:rFonts w:ascii="Times New Roman" w:hAnsi="Times New Roman" w:eastAsia="Times New Roman"/>
                <w:sz w:val="18"/>
                <w:szCs w:val="18"/>
                <w:lang w:val="uk-ua" w:eastAsia="ru-ru"/>
              </w:rPr>
            </w:r>
          </w:p>
        </w:tc>
        <w:tc>
          <w:tcPr>
            <w:tcW w:w="2005" w:type="dxa"/>
            <w:gridSpan w:val="3"/>
            <w:tmTcPr id="1759223788" protected="0"/>
          </w:tcPr>
          <w:p>
            <w:pPr>
              <w:spacing w:after="0" w:line="240" w:lineRule="auto"/>
              <w:jc w:val="center"/>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r>
          </w:p>
        </w:tc>
      </w:tr>
      <w:tr>
        <w:trPr>
          <w:cantSplit w:val="0"/>
          <w:trHeight w:val="0" w:hRule="auto"/>
        </w:trPr>
        <w:tc>
          <w:tcPr>
            <w:tcW w:w="6016" w:type="dxa"/>
            <w:tmTcPr id="1759223788"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t>Адреса</w:t>
            </w:r>
            <w:r>
              <w:rPr>
                <w:rFonts w:ascii="Times New Roman" w:hAnsi="Times New Roman" w:eastAsia="Times New Roman"/>
                <w:sz w:val="18"/>
                <w:szCs w:val="18"/>
                <w:lang w:val="uk-ua" w:eastAsia="ru-ru"/>
              </w:rPr>
              <w:t>, телефон</w:t>
            </w:r>
            <w:r>
              <w:rPr>
                <w:rFonts w:ascii="Times New Roman" w:hAnsi="Times New Roman" w:eastAsia="Times New Roman"/>
                <w:sz w:val="18"/>
                <w:szCs w:val="18"/>
                <w:lang w:eastAsia="ru-ru"/>
              </w:rPr>
              <w:t xml:space="preserve"> </w:t>
            </w:r>
            <w:r>
              <w:rPr>
                <w:rFonts w:ascii="Times New Roman" w:hAnsi="Times New Roman" w:eastAsia="Times New Roman"/>
                <w:sz w:val="18"/>
                <w:szCs w:val="18"/>
                <w:u w:color="auto" w:val="single"/>
                <w:lang w:eastAsia="ru-ru"/>
              </w:rPr>
              <w:t>01014  Печерський район м.Київ вул.Зв</w:t>
            </w:r>
            <w:r>
              <w:rPr>
                <w:rFonts w:ascii="Times New Roman" w:hAnsi="Times New Roman" w:eastAsia="Times New Roman"/>
                <w:sz w:val="18"/>
                <w:szCs w:val="18"/>
                <w:u w:color="auto" w:val="single"/>
                <w:lang w:val="en-us" w:eastAsia="ru-ru"/>
              </w:rPr>
              <w:t>i</w:t>
            </w:r>
            <w:r>
              <w:rPr>
                <w:rFonts w:ascii="Times New Roman" w:hAnsi="Times New Roman" w:eastAsia="Times New Roman"/>
                <w:sz w:val="18"/>
                <w:szCs w:val="18"/>
                <w:u w:color="auto" w:val="single"/>
                <w:lang w:eastAsia="ru-ru"/>
              </w:rPr>
              <w:t>ринецька, буд.63, т.0968671022</w:t>
            </w:r>
            <w:r>
              <w:rPr>
                <w:rFonts w:ascii="Times New Roman" w:hAnsi="Times New Roman" w:eastAsia="Times New Roman"/>
                <w:sz w:val="18"/>
                <w:szCs w:val="18"/>
                <w:lang w:eastAsia="ru-ru"/>
              </w:rPr>
            </w:r>
          </w:p>
          <w:p>
            <w:pPr>
              <w:spacing w:after="0" w:line="240" w:lineRule="auto"/>
              <w:widowControl w:val="0"/>
              <w:rPr>
                <w:rFonts w:ascii="Times New Roman" w:hAnsi="Times New Roman" w:eastAsia="Times New Roman"/>
                <w:sz w:val="18"/>
                <w:szCs w:val="18"/>
                <w:lang w:val="uk-ua" w:eastAsia="ru-ru"/>
              </w:rPr>
            </w:pPr>
            <w:r>
              <w:rPr>
                <w:rFonts w:ascii="Times New Roman" w:hAnsi="Times New Roman" w:eastAsia="Times New Roman"/>
                <w:sz w:val="18"/>
                <w:szCs w:val="18"/>
                <w:lang w:val="uk-ua" w:eastAsia="ru-ru"/>
              </w:rPr>
            </w:r>
          </w:p>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r>
          </w:p>
        </w:tc>
        <w:tc>
          <w:tcPr>
            <w:tcW w:w="1935" w:type="dxa"/>
            <w:tcBorders>
              <w:top w:val="nil" w:sz="0" w:space="0" w:color="000000" tmln="20, 20, 20, 0, 0"/>
              <w:left w:val="nil" w:sz="0" w:space="0" w:color="000000" tmln="20, 20, 20, 0, 0"/>
              <w:bottom w:val="nil" w:sz="0" w:space="0" w:color="000000" tmln="20, 20, 20, 0, 0"/>
            </w:tcBorders>
            <w:tmTcPr id="1759223788"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r>
          </w:p>
        </w:tc>
        <w:tc>
          <w:tcPr>
            <w:tcW w:w="2005" w:type="dxa"/>
            <w:gridSpan w:val="3"/>
            <w:tmTcPr id="1759223788" protected="0"/>
          </w:tcPr>
          <w:p>
            <w:pPr>
              <w:spacing w:after="0" w:line="240" w:lineRule="auto"/>
              <w:jc w:val="center"/>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r>
          </w:p>
        </w:tc>
      </w:tr>
      <w:tr>
        <w:trPr>
          <w:cantSplit w:val="0"/>
          <w:trHeight w:val="0" w:hRule="auto"/>
        </w:trPr>
        <w:tc>
          <w:tcPr>
            <w:tcW w:w="6016" w:type="dxa"/>
            <w:tmTcPr id="1759223788" protected="0"/>
          </w:tcPr>
          <w:p>
            <w:pPr>
              <w:spacing w:after="0" w:line="240" w:lineRule="auto"/>
              <w:widowControl w:val="0"/>
              <w:rPr>
                <w:rFonts w:ascii="Times New Roman" w:hAnsi="Times New Roman" w:eastAsia="Times New Roman"/>
                <w:sz w:val="18"/>
                <w:szCs w:val="18"/>
                <w:lang w:eastAsia="ru-ru"/>
              </w:rPr>
            </w:pPr>
            <w:r>
              <w:rPr>
                <w:rFonts w:ascii="Times New Roman" w:hAnsi="Times New Roman" w:eastAsia="Times New Roman"/>
                <w:sz w:val="18"/>
                <w:szCs w:val="18"/>
                <w:lang w:eastAsia="ru-ru"/>
              </w:rPr>
            </w:r>
          </w:p>
        </w:tc>
      </w:tr>
    </w:tbl>
    <w:p>
      <w:pPr>
        <w:ind w:firstLine="567"/>
        <w:spacing w:after="0" w:line="240" w:lineRule="auto"/>
        <w:jc w:val="right"/>
        <w:widowControl w:val="0"/>
        <w:rPr>
          <w:rFonts w:ascii="Times New Roman" w:hAnsi="Times New Roman" w:eastAsia="Times New Roman"/>
          <w:b/>
          <w:lang w:eastAsia="ru-ru"/>
        </w:rPr>
      </w:pPr>
      <w:r>
        <w:rPr>
          <w:rFonts w:ascii="Times New Roman" w:hAnsi="Times New Roman" w:eastAsia="Times New Roman"/>
          <w:b/>
          <w:lang w:eastAsia="ru-ru"/>
        </w:rPr>
      </w:r>
    </w:p>
    <w:p>
      <w:pPr>
        <w:numPr>
          <w:ilvl w:val="0"/>
          <w:numId w:val="1"/>
        </w:numPr>
        <w:ind w:left="720" w:hanging="360"/>
        <w:spacing w:after="0" w:line="240" w:lineRule="auto"/>
        <w:jc w:val="center"/>
        <w:widowControl w:val="0"/>
        <w:rPr>
          <w:rFonts w:ascii="Times New Roman" w:hAnsi="Times New Roman" w:eastAsia="Times New Roman"/>
          <w:b/>
          <w:bCs/>
          <w:lang w:val="uk-ua" w:eastAsia="ru-ru"/>
        </w:rPr>
      </w:pPr>
      <w:r>
        <w:rPr>
          <w:rFonts w:ascii="Times New Roman" w:hAnsi="Times New Roman" w:eastAsia="Times New Roman"/>
          <w:b/>
          <w:bCs/>
          <w:color w:val="000000"/>
          <w:lang w:eastAsia="ru-ru"/>
        </w:rPr>
        <w:t xml:space="preserve">Баланс на </w:t>
      </w:r>
      <w:r>
        <w:rPr>
          <w:rFonts w:ascii="Times New Roman" w:hAnsi="Times New Roman" w:eastAsia="Times New Roman"/>
          <w:b/>
          <w:bCs/>
          <w:color w:val="000000"/>
          <w:lang w:val="en-us" w:eastAsia="ru-ru"/>
        </w:rPr>
        <w:t>"31" грудня 2023 р.</w:t>
      </w:r>
      <w:r>
        <w:rPr>
          <w:rFonts w:ascii="Times New Roman" w:hAnsi="Times New Roman" w:eastAsia="Times New Roman"/>
          <w:b/>
          <w:bCs/>
          <w:color w:val="000000"/>
          <w:lang w:eastAsia="ru-ru"/>
        </w:rPr>
        <w:t xml:space="preserve"> </w:t>
      </w:r>
      <w:r>
        <w:rPr>
          <w:rFonts w:ascii="Times New Roman" w:hAnsi="Times New Roman" w:eastAsia="Times New Roman"/>
          <w:b/>
          <w:bCs/>
          <w:lang w:val="uk-ua" w:eastAsia="ru-ru"/>
        </w:rPr>
      </w:r>
    </w:p>
    <w:p>
      <w:pPr>
        <w:ind w:left="360"/>
        <w:spacing w:after="0" w:line="240" w:lineRule="auto"/>
        <w:jc w:val="center"/>
        <w:widowControl w:val="0"/>
        <w:rPr>
          <w:rFonts w:ascii="Times New Roman" w:hAnsi="Times New Roman" w:eastAsia="Times New Roman"/>
          <w:b/>
          <w:bCs/>
          <w:lang w:val="uk-ua" w:eastAsia="ru-ru"/>
        </w:rPr>
      </w:pPr>
      <w:r>
        <w:rPr>
          <w:rFonts w:ascii="Times New Roman" w:hAnsi="Times New Roman" w:eastAsia="Times New Roman"/>
          <w:b/>
          <w:bCs/>
          <w:color w:val="000000"/>
          <w:lang w:eastAsia="ru-ru"/>
        </w:rPr>
        <w:t xml:space="preserve">Форма </w:t>
      </w:r>
      <w:r>
        <w:rPr>
          <w:rFonts w:ascii="Times New Roman" w:hAnsi="Times New Roman" w:eastAsia="Times New Roman"/>
          <w:b/>
          <w:bCs/>
          <w:color w:val="000000"/>
          <w:lang w:val="uk-ua" w:eastAsia="ru-ru"/>
        </w:rPr>
        <w:t>№</w:t>
      </w:r>
      <w:r>
        <w:rPr>
          <w:rFonts w:ascii="Times New Roman" w:hAnsi="Times New Roman" w:eastAsia="Times New Roman"/>
          <w:b/>
          <w:bCs/>
          <w:color w:val="000000"/>
          <w:lang w:eastAsia="ru-ru"/>
        </w:rPr>
        <w:t xml:space="preserve"> 1-м </w:t>
      </w:r>
      <w:r>
        <w:rPr>
          <w:rFonts w:ascii="Times New Roman" w:hAnsi="Times New Roman" w:eastAsia="Times New Roman"/>
          <w:b/>
          <w:bCs/>
          <w:lang w:val="uk-ua" w:eastAsia="ru-ru"/>
        </w:rPr>
      </w:r>
    </w:p>
    <w:tbl>
      <w:tblPr>
        <w:tblpPr w:horzAnchor="page" w:tblpX="7610" w:vertAnchor="text" w:tblpY="17" w:leftFromText="180" w:rightFromText="180" w:topFromText="0" w:bottomFromText="0"/>
        <w:tblOverlap w:val="never"/>
        <w:tblStyle w:val="NormalTable"/>
        <w:name w:val="Таблица55"/>
        <w:tabOrder w:val="0"/>
        <w:jc w:val="left"/>
        <w:tblInd w:w="0" w:type="dxa"/>
        <w:tblW w:w="2693" w:type="dxa"/>
        <w:tblLook w:val="00A0" w:firstRow="1" w:lastRow="0" w:firstColumn="1" w:lastColumn="0" w:noHBand="0" w:noVBand="0"/>
      </w:tblPr>
      <w:tblGrid>
        <w:gridCol w:w="1559"/>
        <w:gridCol w:w="1134"/>
      </w:tblGrid>
      <w:tr>
        <w:trPr>
          <w:cantSplit w:val="0"/>
          <w:trHeight w:val="0" w:hRule="auto"/>
        </w:trPr>
        <w:tc>
          <w:tcPr>
            <w:tcW w:w="1559" w:type="dxa"/>
            <w:vAlign w:val="center"/>
            <w:tmTcPr id="1759223788" protected="0"/>
          </w:tcPr>
          <w:p>
            <w:pPr>
              <w:spacing w:after="0" w:line="240" w:lineRule="auto"/>
              <w:widowControl w:val="0"/>
              <w:rPr>
                <w:rFonts w:ascii="Times New Roman" w:hAnsi="Times New Roman" w:eastAsia="Times New Roman"/>
                <w:lang w:eastAsia="ru-ru"/>
              </w:rPr>
            </w:pPr>
            <w:r>
              <w:rPr>
                <w:rFonts w:ascii="Times New Roman" w:hAnsi="Times New Roman" w:eastAsia="Times New Roman"/>
                <w:lang w:eastAsia="ru-ru"/>
              </w:rPr>
              <w:t>Код за ДКУД</w:t>
            </w:r>
          </w:p>
        </w:tc>
        <w:tc>
          <w:tcPr>
            <w:tcW w:w="1134" w:type="dxa"/>
            <w:vAlign w:val="center"/>
            <w:tmTcPr id="1759223788" protected="0"/>
          </w:tcPr>
          <w:p>
            <w:pPr>
              <w:spacing w:after="0" w:line="240" w:lineRule="auto"/>
              <w:suppressAutoHyphens/>
              <w:hyphenationLines w:val="0"/>
              <w:keepNext/>
              <w:keepLines/>
              <w:widowControl w:val="0"/>
              <w:rPr>
                <w:rFonts w:ascii="Times New Roman" w:hAnsi="Times New Roman" w:eastAsia="Times New Roman"/>
                <w:lang w:eastAsia="ru-ru"/>
              </w:rPr>
            </w:pPr>
            <w:r>
              <w:rPr>
                <w:rFonts w:ascii="Times New Roman" w:hAnsi="Times New Roman" w:eastAsia="Times New Roman"/>
                <w:lang w:eastAsia="ru-ru"/>
              </w:rPr>
              <w:t>1801006</w:t>
            </w:r>
          </w:p>
        </w:tc>
      </w:tr>
    </w:tbl>
    <w:p>
      <w:pPr>
        <w:ind w:left="360"/>
        <w:spacing w:after="0" w:line="240" w:lineRule="auto"/>
        <w:jc w:val="center"/>
        <w:widowControl w:val="0"/>
        <w:rPr>
          <w:rFonts w:ascii="Times New Roman" w:hAnsi="Times New Roman" w:eastAsia="Times New Roman"/>
          <w:b/>
          <w:bCs/>
          <w:lang w:val="uk-ua" w:eastAsia="ru-ru"/>
        </w:rPr>
      </w:pPr>
      <w:r>
        <w:rPr>
          <w:rFonts w:ascii="Times New Roman" w:hAnsi="Times New Roman" w:eastAsia="Times New Roman"/>
          <w:b/>
          <w:bCs/>
          <w:lang w:val="uk-ua" w:eastAsia="ru-ru"/>
        </w:rPr>
        <w:t xml:space="preserve">  </w:t>
      </w:r>
    </w:p>
    <w:p>
      <w:pPr>
        <w:spacing w:after="0" w:line="240" w:lineRule="auto"/>
        <w:jc w:val="center"/>
        <w:widowControl w:val="0"/>
        <w:rPr>
          <w:rFonts w:ascii="Times New Roman" w:hAnsi="Times New Roman" w:eastAsia="Times New Roman"/>
          <w:b/>
          <w:bCs/>
          <w:sz w:val="10"/>
          <w:szCs w:val="10"/>
          <w:lang w:eastAsia="ru-ru"/>
        </w:rPr>
      </w:pPr>
      <w:r>
        <w:rPr>
          <w:rFonts w:ascii="Times New Roman" w:hAnsi="Times New Roman" w:eastAsia="Times New Roman"/>
          <w:b/>
          <w:bCs/>
          <w:sz w:val="10"/>
          <w:szCs w:val="10"/>
          <w:lang w:eastAsia="ru-ru"/>
        </w:rPr>
      </w:r>
    </w:p>
    <w:tbl>
      <w:tblPr>
        <w:tblStyle w:val="NormalTable"/>
        <w:name w:val="Таблица56"/>
        <w:tabOrder w:val="0"/>
        <w:jc w:val="left"/>
        <w:tblInd w:w="40" w:type="dxa"/>
        <w:tblW w:w="9881" w:type="dxa"/>
        <w:tblLook w:val="00A0" w:firstRow="1" w:lastRow="0" w:firstColumn="1" w:lastColumn="0" w:noHBand="0" w:noVBand="0"/>
      </w:tblPr>
      <w:tblGrid>
        <w:gridCol w:w="5082"/>
        <w:gridCol w:w="989"/>
        <w:gridCol w:w="1834"/>
        <w:gridCol w:w="1976"/>
      </w:tblGrid>
      <w:tr>
        <w:trPr>
          <w:cantSplit w:val="0"/>
          <w:trHeight w:val="0" w:hRule="auto"/>
        </w:trPr>
        <w:tc>
          <w:tcPr>
            <w:tcW w:w="5082"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b/>
                <w:lang w:eastAsia="ru-ru"/>
              </w:rPr>
            </w:pPr>
            <w:r>
              <w:rPr>
                <w:rFonts w:ascii="Times New Roman" w:hAnsi="Times New Roman" w:eastAsia="Times New Roman"/>
                <w:b/>
                <w:sz w:val="20"/>
                <w:lang w:eastAsia="ru-ru"/>
              </w:rPr>
              <w:t>Актив</w:t>
            </w:r>
            <w:r>
              <w:rPr>
                <w:rFonts w:ascii="Times New Roman" w:hAnsi="Times New Roman" w:eastAsia="Times New Roman"/>
                <w:b/>
                <w:lang w:eastAsia="ru-ru"/>
              </w:rPr>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Код рядка</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eastAsia="ru-ru"/>
              </w:rPr>
              <w:t xml:space="preserve">На початок звітного </w:t>
            </w:r>
            <w:r>
              <w:rPr>
                <w:rFonts w:ascii="Times New Roman" w:hAnsi="Times New Roman" w:eastAsia="Times New Roman"/>
                <w:b/>
                <w:bCs/>
                <w:sz w:val="20"/>
                <w:szCs w:val="20"/>
                <w:lang w:val="uk-ua" w:eastAsia="ru-ru"/>
              </w:rPr>
              <w:t>періоду</w:t>
            </w:r>
            <w:r>
              <w:rPr>
                <w:rFonts w:ascii="Times New Roman" w:hAnsi="Times New Roman" w:eastAsia="Times New Roman"/>
                <w:b/>
                <w:bCs/>
                <w:sz w:val="20"/>
                <w:szCs w:val="20"/>
                <w:lang w:val="uk-ua"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На кінець звітного періоду</w:t>
            </w:r>
          </w:p>
        </w:tc>
      </w:tr>
      <w:tr>
        <w:trPr>
          <w:cantSplit w:val="0"/>
          <w:trHeight w:val="0" w:hRule="auto"/>
        </w:trPr>
        <w:tc>
          <w:tcPr>
            <w:tcW w:w="5082" w:type="dxa"/>
            <w:shd w:val="solid" w:color="E6E6E6" tmshd="1677721856, 0, 15132390"/>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1</w:t>
            </w:r>
          </w:p>
        </w:tc>
        <w:tc>
          <w:tcPr>
            <w:tcW w:w="989" w:type="dxa"/>
            <w:shd w:val="solid" w:color="E6E6E6" tmshd="1677721856, 0, 15132390"/>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2</w:t>
            </w:r>
          </w:p>
        </w:tc>
        <w:tc>
          <w:tcPr>
            <w:tcW w:w="1834" w:type="dxa"/>
            <w:shd w:val="solid" w:color="E6E6E6" tmshd="1677721856, 0, 15132390"/>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3</w:t>
            </w:r>
          </w:p>
        </w:tc>
        <w:tc>
          <w:tcPr>
            <w:tcW w:w="1976" w:type="dxa"/>
            <w:shd w:val="solid" w:color="E6E6E6" tmshd="1677721856, 0, 15132390"/>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4</w:t>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widowControl w:val="0"/>
              <w:rPr>
                <w:rFonts w:ascii="Times New Roman" w:hAnsi="Times New Roman" w:eastAsia="Times New Roman"/>
                <w:b/>
                <w:lang w:eastAsia="ru-ru"/>
              </w:rPr>
            </w:pPr>
            <w:r>
              <w:rPr>
                <w:rFonts w:ascii="Times New Roman" w:hAnsi="Times New Roman" w:eastAsia="Times New Roman"/>
                <w:b/>
                <w:sz w:val="20"/>
                <w:lang w:val="en-us" w:eastAsia="ru-ru"/>
              </w:rPr>
              <w:t xml:space="preserve">               </w:t>
            </w:r>
            <w:r>
              <w:rPr>
                <w:rFonts w:ascii="Times New Roman" w:hAnsi="Times New Roman" w:eastAsia="Times New Roman"/>
                <w:b/>
                <w:sz w:val="20"/>
                <w:lang w:eastAsia="ru-ru"/>
              </w:rPr>
              <w:t>І. Необоротні активи</w:t>
            </w:r>
            <w:r>
              <w:rPr>
                <w:rFonts w:ascii="Times New Roman" w:hAnsi="Times New Roman" w:eastAsia="Times New Roman"/>
                <w:b/>
                <w:lang w:eastAsia="ru-ru"/>
              </w:rPr>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c>
          <w:tcPr>
            <w:tcW w:w="1834"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c>
          <w:tcPr>
            <w:tcW w:w="1976"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before="100" w:after="100" w:beforeAutospacing="1" w:afterAutospacing="1" w:line="240" w:lineRule="auto"/>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Нематеріальні активи</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before="100" w:after="100" w:beforeAutospacing="1" w:afterAutospacing="1" w:line="240" w:lineRule="auto"/>
              <w:jc w:val="center"/>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1000</w:t>
            </w:r>
          </w:p>
        </w:tc>
        <w:tc>
          <w:tcPr>
            <w:tcW w:w="1834"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eastAsia="ru-ru"/>
              </w:rPr>
              <w:t>--</w:t>
            </w:r>
            <w:r>
              <w:rPr>
                <w:rFonts w:ascii="Times New Roman" w:hAnsi="Times New Roman" w:eastAsia="Times New Roman"/>
                <w:sz w:val="20"/>
                <w:szCs w:val="20"/>
                <w:lang w:val="en-us" w:eastAsia="ru-ru"/>
              </w:rPr>
            </w:r>
          </w:p>
        </w:tc>
        <w:tc>
          <w:tcPr>
            <w:tcW w:w="1976"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eastAsia="ru-ru"/>
              </w:rPr>
              <w:t>--</w:t>
            </w:r>
            <w:r>
              <w:rPr>
                <w:rFonts w:ascii="Times New Roman" w:hAnsi="Times New Roman" w:eastAsia="Times New Roman"/>
                <w:sz w:val="20"/>
                <w:szCs w:val="20"/>
                <w:lang w:val="en-us"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before="100" w:after="100" w:beforeAutospacing="1" w:afterAutospacing="1" w:line="240" w:lineRule="auto"/>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Первісна вартість</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before="100" w:after="100" w:beforeAutospacing="1" w:afterAutospacing="1" w:line="240" w:lineRule="auto"/>
              <w:jc w:val="center"/>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1001</w:t>
            </w:r>
          </w:p>
        </w:tc>
        <w:tc>
          <w:tcPr>
            <w:tcW w:w="1834"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7.3</w:t>
            </w:r>
          </w:p>
        </w:tc>
        <w:tc>
          <w:tcPr>
            <w:tcW w:w="1976"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eastAsia="ru-ru"/>
              </w:rPr>
              <w:t>7.3</w:t>
            </w:r>
            <w:r>
              <w:rPr>
                <w:rFonts w:ascii="Times New Roman" w:hAnsi="Times New Roman" w:eastAsia="Times New Roman"/>
                <w:sz w:val="20"/>
                <w:szCs w:val="20"/>
                <w:lang w:val="en-us"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before="100" w:after="100" w:beforeAutospacing="1" w:afterAutospacing="1" w:line="240" w:lineRule="auto"/>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Накопичена амортизація</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before="100" w:after="100" w:beforeAutospacing="1" w:afterAutospacing="1" w:line="240" w:lineRule="auto"/>
              <w:jc w:val="center"/>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1002</w:t>
            </w:r>
          </w:p>
        </w:tc>
        <w:tc>
          <w:tcPr>
            <w:tcW w:w="1834"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( 7.3 )</w:t>
            </w:r>
          </w:p>
        </w:tc>
        <w:tc>
          <w:tcPr>
            <w:tcW w:w="1976"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eastAsia="ru-ru"/>
              </w:rPr>
              <w:t>( 7.3 )</w:t>
            </w:r>
            <w:r>
              <w:rPr>
                <w:rFonts w:ascii="Times New Roman" w:hAnsi="Times New Roman" w:eastAsia="Times New Roman"/>
                <w:sz w:val="20"/>
                <w:szCs w:val="20"/>
                <w:lang w:val="en-us"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bCs/>
                <w:sz w:val="20"/>
                <w:szCs w:val="20"/>
                <w:lang w:eastAsia="ru-ru"/>
              </w:rPr>
            </w:pPr>
            <w:r>
              <w:rPr>
                <w:rFonts w:ascii="Times New Roman" w:hAnsi="Times New Roman" w:eastAsia="Times New Roman"/>
                <w:sz w:val="20"/>
                <w:szCs w:val="20"/>
                <w:lang w:eastAsia="ru-ru"/>
              </w:rPr>
              <w:t>Незавершені капітальні інвестиції</w:t>
            </w:r>
            <w:r>
              <w:rPr>
                <w:rFonts w:ascii="Times New Roman" w:hAnsi="Times New Roman" w:eastAsia="Times New Roman"/>
                <w:bCs/>
                <w:sz w:val="20"/>
                <w:szCs w:val="20"/>
                <w:lang w:eastAsia="ru-ru"/>
              </w:rPr>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1005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2817.0</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2817.0</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Основні засоби: </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1010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0.9</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0.5</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27"/>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первісна вартість</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1011</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20.2</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20.2</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27"/>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знос</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1012</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( 19.3 )</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( 19.7 )</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eastAsia="ru-ru"/>
              </w:rPr>
              <w:t>Довгострокові біологічні активи</w:t>
            </w:r>
            <w:r>
              <w:rPr>
                <w:rFonts w:ascii="Times New Roman" w:hAnsi="Times New Roman" w:eastAsia="Times New Roman"/>
                <w:sz w:val="20"/>
                <w:szCs w:val="20"/>
                <w:lang w:val="en-us" w:eastAsia="ru-ru"/>
              </w:rPr>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1020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Довгострокові фінансові інвестиції</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1030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7.2</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7.2</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Інші необоротні активи</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1090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Усього за розділом І</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1095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2825.1</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2824.7</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II. Оборотні активи</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Запаси:</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1100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852.9</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901.6</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у</w:t>
            </w:r>
            <w:r>
              <w:rPr>
                <w:rFonts w:ascii="Times New Roman" w:hAnsi="Times New Roman" w:eastAsia="Times New Roman"/>
                <w:sz w:val="20"/>
                <w:szCs w:val="20"/>
                <w:lang w:eastAsia="ru-ru"/>
              </w:rPr>
              <w:t xml:space="preserve"> тому числі</w:t>
            </w:r>
            <w:r>
              <w:rPr>
                <w:rFonts w:ascii="Times New Roman" w:hAnsi="Times New Roman" w:eastAsia="Times New Roman"/>
                <w:sz w:val="20"/>
                <w:szCs w:val="20"/>
                <w:lang w:val="uk-ua" w:eastAsia="ru-ru"/>
              </w:rPr>
              <w:t xml:space="preserve"> готова продукція</w:t>
            </w:r>
            <w:r>
              <w:rPr>
                <w:rFonts w:ascii="Times New Roman" w:hAnsi="Times New Roman" w:eastAsia="Times New Roman"/>
                <w:sz w:val="20"/>
                <w:szCs w:val="20"/>
                <w:lang w:val="uk-ua" w:eastAsia="ru-ru"/>
              </w:rPr>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1103</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32.2</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68.6</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Поточні біологічні активи</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1110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eastAsia="ru-ru"/>
              </w:rPr>
              <w:t>Дебіторська заборгованість за товари, роботи, послуги</w:t>
            </w:r>
            <w:r>
              <w:rPr>
                <w:rFonts w:ascii="Times New Roman" w:hAnsi="Times New Roman" w:eastAsia="Times New Roman"/>
                <w:sz w:val="20"/>
                <w:szCs w:val="20"/>
                <w:lang w:val="uk-ua" w:eastAsia="ru-ru"/>
              </w:rPr>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1125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1034.7</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2019.7</w:t>
            </w:r>
            <w:r>
              <w:rPr>
                <w:rFonts w:ascii="Times New Roman" w:hAnsi="Times New Roman" w:eastAsia="Times New Roman"/>
                <w:sz w:val="20"/>
                <w:szCs w:val="20"/>
                <w:lang w:eastAsia="ru-ru"/>
              </w:rPr>
            </w:r>
          </w:p>
        </w:tc>
      </w:tr>
      <w:tr>
        <w:trPr>
          <w:cantSplit/>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Дебіторська заборгованість за розрахунками з бюджетом</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1135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107.6</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8.1</w:t>
            </w:r>
            <w:r>
              <w:rPr>
                <w:rFonts w:ascii="Times New Roman" w:hAnsi="Times New Roman" w:eastAsia="Times New Roman"/>
                <w:sz w:val="20"/>
                <w:szCs w:val="20"/>
                <w:lang w:eastAsia="ru-ru"/>
              </w:rPr>
            </w:r>
          </w:p>
        </w:tc>
      </w:tr>
      <w:tr>
        <w:trPr>
          <w:cantSplit/>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у тому числі з податку на прибуток</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1136</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2.7</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4.7</w:t>
            </w:r>
            <w:r>
              <w:rPr>
                <w:rFonts w:ascii="Times New Roman" w:hAnsi="Times New Roman" w:eastAsia="Times New Roman"/>
                <w:sz w:val="20"/>
                <w:szCs w:val="20"/>
                <w:lang w:eastAsia="ru-ru"/>
              </w:rPr>
            </w:r>
          </w:p>
        </w:tc>
      </w:tr>
      <w:tr>
        <w:trPr>
          <w:cantSplit/>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Інша поточна дебіторська заборгованість</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1155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36.4</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392.6</w:t>
            </w:r>
            <w:r>
              <w:rPr>
                <w:rFonts w:ascii="Times New Roman" w:hAnsi="Times New Roman" w:eastAsia="Times New Roman"/>
                <w:sz w:val="20"/>
                <w:szCs w:val="20"/>
                <w:lang w:eastAsia="ru-ru"/>
              </w:rPr>
            </w:r>
          </w:p>
        </w:tc>
      </w:tr>
      <w:tr>
        <w:trPr>
          <w:cantSplit/>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Поточні фінансові інвестиції</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1160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eastAsia="ru-ru"/>
              </w:rPr>
              <w:t>Гроші та їх еквіваленти</w:t>
            </w:r>
            <w:r>
              <w:rPr>
                <w:rFonts w:ascii="Times New Roman" w:hAnsi="Times New Roman" w:eastAsia="Times New Roman"/>
                <w:sz w:val="20"/>
                <w:szCs w:val="20"/>
                <w:lang w:val="uk-ua" w:eastAsia="ru-ru"/>
              </w:rPr>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1165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600.1</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239.3</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hanging="40"/>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Витрати майбутніх періодів</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1170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1060.0</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807.1</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Інші оборотні активи</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1190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73.0</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61.5</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Усього за розділом II</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1195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3764.7</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4429.9</w:t>
            </w:r>
            <w:r>
              <w:rPr>
                <w:rFonts w:ascii="Times New Roman" w:hAnsi="Times New Roman" w:eastAsia="Times New Roman"/>
                <w:sz w:val="20"/>
                <w:szCs w:val="20"/>
                <w:lang w:eastAsia="ru-ru"/>
              </w:rPr>
            </w:r>
          </w:p>
        </w:tc>
      </w:tr>
      <w:tr>
        <w:trPr>
          <w:cantSplit w:val="0"/>
          <w:trHeight w:val="59" w:hRule="atLeast"/>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b/>
                <w:bCs/>
                <w:sz w:val="20"/>
                <w:szCs w:val="20"/>
                <w:lang w:eastAsia="ru-ru"/>
              </w:rPr>
            </w:pPr>
            <w:r>
              <w:rPr>
                <w:rFonts w:ascii="Times New Roman" w:hAnsi="Times New Roman" w:eastAsia="Times New Roman"/>
                <w:b/>
                <w:bCs/>
                <w:color w:val="000000"/>
                <w:sz w:val="20"/>
                <w:szCs w:val="20"/>
                <w:lang w:val="en-us" w:eastAsia="ru-ru"/>
              </w:rPr>
              <w:t>I</w:t>
            </w:r>
            <w:r>
              <w:rPr>
                <w:rFonts w:ascii="Times New Roman" w:hAnsi="Times New Roman" w:eastAsia="Times New Roman"/>
                <w:b/>
                <w:bCs/>
                <w:color w:val="000000"/>
                <w:sz w:val="20"/>
                <w:szCs w:val="20"/>
                <w:lang w:val="uk-ua" w:eastAsia="ru-ru"/>
              </w:rPr>
              <w:t>ІІ</w:t>
            </w:r>
            <w:r>
              <w:rPr>
                <w:rFonts w:ascii="Times New Roman" w:hAnsi="Times New Roman" w:eastAsia="Times New Roman"/>
                <w:b/>
                <w:bCs/>
                <w:color w:val="000000"/>
                <w:sz w:val="20"/>
                <w:szCs w:val="20"/>
                <w:lang w:eastAsia="ru-ru"/>
              </w:rPr>
              <w:t xml:space="preserve">. </w:t>
            </w:r>
            <w:r>
              <w:rPr>
                <w:rFonts w:ascii="Times New Roman" w:hAnsi="Times New Roman" w:eastAsia="Times New Roman"/>
                <w:b/>
                <w:bCs/>
                <w:color w:val="000000"/>
                <w:sz w:val="20"/>
                <w:szCs w:val="20"/>
                <w:lang w:val="uk-ua" w:eastAsia="ru-ru"/>
              </w:rPr>
              <w:t>Необоротні</w:t>
            </w:r>
            <w:r>
              <w:rPr>
                <w:rFonts w:ascii="Times New Roman" w:hAnsi="Times New Roman" w:eastAsia="Times New Roman"/>
                <w:b/>
                <w:bCs/>
                <w:color w:val="000000"/>
                <w:sz w:val="20"/>
                <w:szCs w:val="20"/>
                <w:lang w:eastAsia="ru-ru"/>
              </w:rPr>
              <w:t xml:space="preserve"> </w:t>
            </w:r>
            <w:r>
              <w:rPr>
                <w:rFonts w:ascii="Times New Roman" w:hAnsi="Times New Roman" w:eastAsia="Times New Roman"/>
                <w:b/>
                <w:bCs/>
                <w:color w:val="000000"/>
                <w:sz w:val="20"/>
                <w:szCs w:val="20"/>
                <w:lang w:val="uk-ua" w:eastAsia="ru-ru"/>
              </w:rPr>
              <w:t>активи, утримані для продажу,</w:t>
            </w:r>
            <w:r>
              <w:rPr>
                <w:rFonts w:ascii="Times New Roman" w:hAnsi="Times New Roman" w:eastAsia="Times New Roman"/>
                <w:b/>
                <w:bCs/>
                <w:color w:val="000000"/>
                <w:sz w:val="20"/>
                <w:szCs w:val="20"/>
                <w:lang w:eastAsia="ru-ru"/>
              </w:rPr>
              <w:t xml:space="preserve"> та </w:t>
            </w:r>
            <w:r>
              <w:rPr>
                <w:rFonts w:ascii="Times New Roman" w:hAnsi="Times New Roman" w:eastAsia="Times New Roman"/>
                <w:b/>
                <w:bCs/>
                <w:color w:val="000000"/>
                <w:sz w:val="20"/>
                <w:szCs w:val="20"/>
                <w:lang w:val="uk-ua" w:eastAsia="ru-ru"/>
              </w:rPr>
              <w:t>групи</w:t>
            </w:r>
            <w:r>
              <w:rPr>
                <w:rFonts w:ascii="Times New Roman" w:hAnsi="Times New Roman" w:eastAsia="Times New Roman"/>
                <w:b/>
                <w:bCs/>
                <w:color w:val="000000"/>
                <w:sz w:val="20"/>
                <w:szCs w:val="20"/>
                <w:lang w:eastAsia="ru-ru"/>
              </w:rPr>
              <w:t xml:space="preserve"> </w:t>
            </w:r>
            <w:r>
              <w:rPr>
                <w:rFonts w:ascii="Times New Roman" w:hAnsi="Times New Roman" w:eastAsia="Times New Roman"/>
                <w:b/>
                <w:bCs/>
                <w:color w:val="000000"/>
                <w:sz w:val="20"/>
                <w:szCs w:val="20"/>
                <w:lang w:val="uk-ua" w:eastAsia="ru-ru"/>
              </w:rPr>
              <w:t>вибуття</w:t>
            </w:r>
            <w:r>
              <w:rPr>
                <w:rFonts w:ascii="Times New Roman" w:hAnsi="Times New Roman" w:eastAsia="Times New Roman"/>
                <w:b/>
                <w:bCs/>
                <w:sz w:val="20"/>
                <w:szCs w:val="20"/>
                <w:lang w:eastAsia="ru-ru"/>
              </w:rPr>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1200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widowControl w:val="0"/>
              <w:rPr>
                <w:rFonts w:ascii="Times New Roman" w:hAnsi="Times New Roman" w:eastAsia="Times New Roman"/>
                <w:b/>
                <w:lang w:eastAsia="ru-ru"/>
              </w:rPr>
            </w:pPr>
            <w:r>
              <w:rPr>
                <w:rFonts w:ascii="Times New Roman" w:hAnsi="Times New Roman" w:eastAsia="Times New Roman"/>
                <w:b/>
                <w:sz w:val="20"/>
                <w:lang w:eastAsia="ru-ru"/>
              </w:rPr>
              <w:t>Баланс</w:t>
            </w:r>
            <w:r>
              <w:rPr>
                <w:rFonts w:ascii="Times New Roman" w:hAnsi="Times New Roman" w:eastAsia="Times New Roman"/>
                <w:b/>
                <w:lang w:eastAsia="ru-ru"/>
              </w:rPr>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1300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6589.8</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7254.6</w:t>
            </w:r>
            <w:r>
              <w:rPr>
                <w:rFonts w:ascii="Times New Roman" w:hAnsi="Times New Roman" w:eastAsia="Times New Roman"/>
                <w:sz w:val="20"/>
                <w:szCs w:val="20"/>
                <w:lang w:eastAsia="ru-ru"/>
              </w:rPr>
            </w:r>
          </w:p>
        </w:tc>
      </w:tr>
    </w:tbl>
    <w:p>
      <w:pPr>
        <w:ind w:firstLine="567"/>
        <w:spacing w:after="0" w:line="240" w:lineRule="auto"/>
        <w:widowControl w:val="0"/>
        <w:rPr>
          <w:rFonts w:ascii="Times New Roman" w:hAnsi="Times New Roman" w:eastAsia="Times New Roman"/>
          <w:sz w:val="10"/>
          <w:szCs w:val="10"/>
          <w:lang w:eastAsia="ru-ru"/>
        </w:rPr>
      </w:pPr>
      <w:r>
        <w:rPr>
          <w:rFonts w:ascii="Times New Roman" w:hAnsi="Times New Roman" w:eastAsia="Times New Roman"/>
          <w:sz w:val="10"/>
          <w:szCs w:val="10"/>
          <w:lang w:eastAsia="ru-ru"/>
        </w:rPr>
      </w:r>
    </w:p>
    <w:p>
      <w:pPr>
        <w:ind w:firstLine="567"/>
        <w:spacing w:after="0" w:line="240" w:lineRule="auto"/>
        <w:widowControl w:val="0"/>
        <w:rPr>
          <w:rFonts w:ascii="Times New Roman" w:hAnsi="Times New Roman" w:eastAsia="Times New Roman"/>
          <w:sz w:val="10"/>
          <w:szCs w:val="10"/>
          <w:lang w:val="uk-ua" w:eastAsia="ru-ru"/>
        </w:rPr>
      </w:pPr>
      <w:r>
        <w:rPr>
          <w:rFonts w:ascii="Times New Roman" w:hAnsi="Times New Roman" w:eastAsia="Times New Roman"/>
          <w:sz w:val="10"/>
          <w:szCs w:val="10"/>
          <w:lang w:val="uk-ua" w:eastAsia="ru-ru"/>
        </w:rPr>
      </w:r>
    </w:p>
    <w:p>
      <w:pPr>
        <w:ind w:firstLine="567"/>
        <w:spacing w:after="0" w:line="240" w:lineRule="auto"/>
        <w:widowControl w:val="0"/>
        <w:rPr>
          <w:rFonts w:ascii="Times New Roman" w:hAnsi="Times New Roman" w:eastAsia="Times New Roman"/>
          <w:sz w:val="10"/>
          <w:szCs w:val="10"/>
          <w:lang w:val="uk-ua" w:eastAsia="ru-ru"/>
        </w:rPr>
      </w:pPr>
      <w:r>
        <w:rPr>
          <w:rFonts w:ascii="Times New Roman" w:hAnsi="Times New Roman" w:eastAsia="Times New Roman"/>
          <w:sz w:val="10"/>
          <w:szCs w:val="10"/>
          <w:lang w:val="uk-ua" w:eastAsia="ru-ru"/>
        </w:rPr>
      </w:r>
    </w:p>
    <w:p>
      <w:pPr>
        <w:ind w:firstLine="567"/>
        <w:spacing w:after="0" w:line="240" w:lineRule="auto"/>
        <w:widowControl w:val="0"/>
        <w:rPr>
          <w:rFonts w:ascii="Times New Roman" w:hAnsi="Times New Roman" w:eastAsia="Times New Roman"/>
          <w:sz w:val="10"/>
          <w:szCs w:val="10"/>
          <w:lang w:eastAsia="ru-ru"/>
        </w:rPr>
      </w:pPr>
      <w:r>
        <w:rPr>
          <w:rFonts w:ascii="Times New Roman" w:hAnsi="Times New Roman" w:eastAsia="Times New Roman"/>
          <w:sz w:val="10"/>
          <w:szCs w:val="10"/>
          <w:lang w:eastAsia="ru-ru"/>
        </w:rPr>
      </w:r>
    </w:p>
    <w:tbl>
      <w:tblPr>
        <w:tblStyle w:val="NormalTable"/>
        <w:name w:val="Таблица57"/>
        <w:tabOrder w:val="0"/>
        <w:jc w:val="left"/>
        <w:tblInd w:w="40" w:type="dxa"/>
        <w:tblW w:w="9881" w:type="dxa"/>
        <w:tblLook w:val="00A0" w:firstRow="1" w:lastRow="0" w:firstColumn="1" w:lastColumn="0" w:noHBand="0" w:noVBand="0"/>
      </w:tblPr>
      <w:tblGrid>
        <w:gridCol w:w="5082"/>
        <w:gridCol w:w="989"/>
        <w:gridCol w:w="1834"/>
        <w:gridCol w:w="1976"/>
      </w:tblGrid>
      <w:tr>
        <w:trPr>
          <w:cantSplit w:val="0"/>
          <w:trHeight w:val="0" w:hRule="auto"/>
        </w:trPr>
        <w:tc>
          <w:tcPr>
            <w:tcW w:w="5082"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b/>
                <w:lang w:eastAsia="ru-ru"/>
              </w:rPr>
            </w:pPr>
            <w:r>
              <w:rPr>
                <w:rFonts w:ascii="Times New Roman" w:hAnsi="Times New Roman" w:eastAsia="Times New Roman"/>
                <w:b/>
                <w:sz w:val="20"/>
                <w:lang w:eastAsia="ru-ru"/>
              </w:rPr>
              <w:t>Пасив</w:t>
            </w:r>
            <w:r>
              <w:rPr>
                <w:rFonts w:ascii="Times New Roman" w:hAnsi="Times New Roman" w:eastAsia="Times New Roman"/>
                <w:b/>
                <w:lang w:eastAsia="ru-ru"/>
              </w:rPr>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Код рядка</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На початок звітного року</w:t>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На кінець звітного періоду</w:t>
            </w:r>
          </w:p>
        </w:tc>
      </w:tr>
      <w:tr>
        <w:trPr>
          <w:cantSplit w:val="0"/>
          <w:trHeight w:val="0" w:hRule="auto"/>
        </w:trPr>
        <w:tc>
          <w:tcPr>
            <w:tcW w:w="5082" w:type="dxa"/>
            <w:shd w:val="solid" w:color="E6E6E6" tmshd="1677721856, 0, 15132390"/>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1</w:t>
            </w:r>
          </w:p>
        </w:tc>
        <w:tc>
          <w:tcPr>
            <w:tcW w:w="989" w:type="dxa"/>
            <w:shd w:val="solid" w:color="E6E6E6" tmshd="1677721856, 0, 15132390"/>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2</w:t>
            </w:r>
          </w:p>
        </w:tc>
        <w:tc>
          <w:tcPr>
            <w:tcW w:w="1834" w:type="dxa"/>
            <w:shd w:val="solid" w:color="E6E6E6" tmshd="1677721856, 0, 15132390"/>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3</w:t>
            </w:r>
          </w:p>
        </w:tc>
        <w:tc>
          <w:tcPr>
            <w:tcW w:w="1976" w:type="dxa"/>
            <w:shd w:val="solid" w:color="E6E6E6" tmshd="1677721856, 0, 15132390"/>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4</w:t>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І. Власний капітал</w:t>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c>
          <w:tcPr>
            <w:tcW w:w="1834"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c>
          <w:tcPr>
            <w:tcW w:w="1976"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 xml:space="preserve">Зареєстрований (пайовий) </w:t>
            </w:r>
            <w:r>
              <w:rPr>
                <w:rFonts w:ascii="Times New Roman" w:hAnsi="Times New Roman" w:eastAsia="Times New Roman"/>
                <w:sz w:val="20"/>
                <w:szCs w:val="20"/>
                <w:lang w:eastAsia="ru-ru"/>
              </w:rPr>
              <w:t>капітал</w:t>
            </w:r>
            <w:r>
              <w:rPr>
                <w:rFonts w:ascii="Times New Roman" w:hAnsi="Times New Roman" w:eastAsia="Times New Roman"/>
                <w:sz w:val="20"/>
                <w:szCs w:val="20"/>
                <w:lang w:val="en-us" w:eastAsia="ru-ru"/>
              </w:rPr>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1400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3956.3</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3956.3</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Додатковий капітал</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1410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410.8</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410.8</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Резервний капітал</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1415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304.0</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304.0</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Нерозподілений прибуток (непокритий збиток)</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1420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1096.6</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1260.7</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Неоплачений капітал</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1425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    --    )</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    --    )</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Усього за розділом І</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1495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5767.7</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5931.8</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eastAsia="ru-ru"/>
              </w:rPr>
              <w:t>II. Довгострокові зобов'язання</w:t>
            </w:r>
            <w:r>
              <w:rPr>
                <w:rFonts w:ascii="Times New Roman" w:hAnsi="Times New Roman" w:eastAsia="Times New Roman"/>
                <w:b/>
                <w:bCs/>
                <w:sz w:val="20"/>
                <w:szCs w:val="20"/>
                <w:lang w:val="uk-ua" w:eastAsia="ru-ru"/>
              </w:rPr>
              <w:t>, цільове фінансування та забезпечення</w:t>
            </w:r>
            <w:r>
              <w:rPr>
                <w:rFonts w:ascii="Times New Roman" w:hAnsi="Times New Roman" w:eastAsia="Times New Roman"/>
                <w:b/>
                <w:bCs/>
                <w:sz w:val="20"/>
                <w:szCs w:val="20"/>
                <w:lang w:val="uk-ua" w:eastAsia="ru-ru"/>
              </w:rPr>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1595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III. Поточні зобов'язання</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Короткострокові кредити банків</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1600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eastAsia="ru-ru"/>
              </w:rPr>
              <w:t xml:space="preserve">Поточна </w:t>
            </w:r>
            <w:r>
              <w:rPr>
                <w:rFonts w:ascii="Times New Roman" w:hAnsi="Times New Roman" w:eastAsia="Times New Roman"/>
                <w:sz w:val="20"/>
                <w:szCs w:val="20"/>
                <w:lang w:val="uk-ua" w:eastAsia="ru-ru"/>
              </w:rPr>
              <w:t xml:space="preserve">кредиторська </w:t>
            </w:r>
            <w:r>
              <w:rPr>
                <w:rFonts w:ascii="Times New Roman" w:hAnsi="Times New Roman" w:eastAsia="Times New Roman"/>
                <w:sz w:val="20"/>
                <w:szCs w:val="20"/>
                <w:lang w:eastAsia="ru-ru"/>
              </w:rPr>
              <w:t>заборгованість за</w:t>
            </w:r>
            <w:r>
              <w:rPr>
                <w:rFonts w:ascii="Times New Roman" w:hAnsi="Times New Roman" w:eastAsia="Times New Roman"/>
                <w:sz w:val="20"/>
                <w:szCs w:val="20"/>
                <w:lang w:val="uk-ua" w:eastAsia="ru-ru"/>
              </w:rPr>
              <w:t xml:space="preserve"> :</w:t>
            </w:r>
            <w:r>
              <w:rPr>
                <w:rFonts w:ascii="Times New Roman" w:hAnsi="Times New Roman" w:eastAsia="Times New Roman"/>
                <w:sz w:val="20"/>
                <w:szCs w:val="20"/>
                <w:lang w:val="uk-ua" w:eastAsia="ru-ru"/>
              </w:rPr>
            </w:r>
          </w:p>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 xml:space="preserve">      </w:t>
            </w:r>
            <w:r>
              <w:rPr>
                <w:rFonts w:ascii="Times New Roman" w:hAnsi="Times New Roman" w:eastAsia="Times New Roman"/>
                <w:sz w:val="20"/>
                <w:szCs w:val="20"/>
                <w:lang w:eastAsia="ru-ru"/>
              </w:rPr>
              <w:t>довгостроковими зобов'язаннями</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1610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 xml:space="preserve">      </w:t>
            </w:r>
            <w:r>
              <w:rPr>
                <w:rFonts w:ascii="Times New Roman" w:hAnsi="Times New Roman" w:eastAsia="Times New Roman"/>
                <w:sz w:val="20"/>
                <w:szCs w:val="20"/>
                <w:lang w:eastAsia="ru-ru"/>
              </w:rPr>
              <w:t>за товари, роботи, послуги</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1615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816.7</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1176.4</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 xml:space="preserve">      розрахунками з бюджетом</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1620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116.1</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 xml:space="preserve">      у тому числі з податку на прибуток</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1621</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hanging="40"/>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 xml:space="preserve">       розрахунками </w:t>
            </w:r>
            <w:r>
              <w:rPr>
                <w:rFonts w:ascii="Times New Roman" w:hAnsi="Times New Roman" w:eastAsia="Times New Roman"/>
                <w:sz w:val="20"/>
                <w:szCs w:val="20"/>
                <w:lang w:eastAsia="ru-ru"/>
              </w:rPr>
              <w:t>зі страхування</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1625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 xml:space="preserve">      розрахунками </w:t>
            </w:r>
            <w:r>
              <w:rPr>
                <w:rFonts w:ascii="Times New Roman" w:hAnsi="Times New Roman" w:eastAsia="Times New Roman"/>
                <w:sz w:val="20"/>
                <w:szCs w:val="20"/>
                <w:lang w:eastAsia="ru-ru"/>
              </w:rPr>
              <w:t>з оплати праці</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1630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hanging="40"/>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Доходи майбутніх періодів</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1665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sz w:val="20"/>
                <w:szCs w:val="20"/>
                <w:lang w:eastAsia="ru-ru"/>
              </w:rPr>
            </w:pPr>
            <w:r>
              <w:rPr>
                <w:rFonts w:ascii="Times New Roman" w:hAnsi="Times New Roman" w:eastAsia="Times New Roman"/>
                <w:sz w:val="20"/>
                <w:szCs w:val="20"/>
                <w:lang w:eastAsia="ru-ru"/>
              </w:rPr>
              <w:t>Інші поточні зобов'язання</w:t>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1690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5.4</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30.3</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eastAsia="ru-ru"/>
              </w:rPr>
              <w:t>Усього за розділом I</w:t>
            </w:r>
            <w:r>
              <w:rPr>
                <w:rFonts w:ascii="Times New Roman" w:hAnsi="Times New Roman" w:eastAsia="Times New Roman"/>
                <w:b/>
                <w:bCs/>
                <w:sz w:val="20"/>
                <w:szCs w:val="20"/>
                <w:lang w:val="uk-ua" w:eastAsia="ru-ru"/>
              </w:rPr>
              <w:t>ІІ</w:t>
            </w:r>
            <w:r>
              <w:rPr>
                <w:rFonts w:ascii="Times New Roman" w:hAnsi="Times New Roman" w:eastAsia="Times New Roman"/>
                <w:b/>
                <w:bCs/>
                <w:sz w:val="20"/>
                <w:szCs w:val="20"/>
                <w:lang w:val="uk-ua" w:eastAsia="ru-ru"/>
              </w:rPr>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1695</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822.1</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1322.8</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val="uk-ua" w:eastAsia="ru-ru"/>
              </w:rPr>
              <w:t>І</w:t>
            </w:r>
            <w:r>
              <w:rPr>
                <w:rFonts w:ascii="Times New Roman" w:hAnsi="Times New Roman" w:eastAsia="Times New Roman"/>
                <w:b/>
                <w:bCs/>
                <w:sz w:val="20"/>
                <w:szCs w:val="20"/>
                <w:lang w:eastAsia="ru-ru"/>
              </w:rPr>
              <w:t xml:space="preserve">V. </w:t>
            </w:r>
            <w:r>
              <w:rPr>
                <w:rFonts w:ascii="Times New Roman" w:hAnsi="Times New Roman" w:eastAsia="Times New Roman"/>
                <w:b/>
                <w:bCs/>
                <w:sz w:val="20"/>
                <w:szCs w:val="20"/>
                <w:lang w:val="uk-ua" w:eastAsia="ru-ru"/>
              </w:rPr>
              <w:t>Зобов’</w:t>
            </w:r>
            <w:r>
              <w:rPr>
                <w:rFonts w:ascii="Times New Roman" w:hAnsi="Times New Roman" w:eastAsia="Times New Roman"/>
                <w:b/>
                <w:bCs/>
                <w:sz w:val="20"/>
                <w:szCs w:val="20"/>
                <w:lang w:eastAsia="ru-ru"/>
              </w:rPr>
              <w:t>язання, пов’язані з необоротними активами, утримуваними для продажу та групами вибуття</w:t>
            </w:r>
            <w:r>
              <w:rPr>
                <w:rFonts w:ascii="Times New Roman" w:hAnsi="Times New Roman" w:eastAsia="Times New Roman"/>
                <w:b/>
                <w:bCs/>
                <w:sz w:val="20"/>
                <w:szCs w:val="20"/>
                <w:lang w:val="uk-ua" w:eastAsia="ru-ru"/>
              </w:rPr>
            </w:r>
          </w:p>
        </w:tc>
        <w:tc>
          <w:tcPr>
            <w:tcW w:w="989"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1700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w:t>
            </w:r>
            <w:r>
              <w:rPr>
                <w:rFonts w:ascii="Times New Roman" w:hAnsi="Times New Roman" w:eastAsia="Times New Roman"/>
                <w:sz w:val="20"/>
                <w:szCs w:val="20"/>
                <w:lang w:eastAsia="ru-ru"/>
              </w:rPr>
            </w:r>
          </w:p>
        </w:tc>
      </w:tr>
      <w:tr>
        <w:trPr>
          <w:cantSplit w:val="0"/>
          <w:trHeight w:val="0" w:hRule="auto"/>
        </w:trPr>
        <w:tc>
          <w:tcPr>
            <w:tcW w:w="5082"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widowControl w:val="0"/>
              <w:rPr>
                <w:rFonts w:ascii="Times New Roman" w:hAnsi="Times New Roman" w:eastAsia="Times New Roman"/>
                <w:b/>
                <w:lang w:eastAsia="ru-ru"/>
              </w:rPr>
            </w:pPr>
            <w:r>
              <w:rPr>
                <w:rFonts w:ascii="Times New Roman" w:hAnsi="Times New Roman" w:eastAsia="Times New Roman"/>
                <w:b/>
                <w:sz w:val="20"/>
                <w:lang w:eastAsia="ru-ru"/>
              </w:rPr>
              <w:t>Баланс</w:t>
            </w:r>
            <w:r>
              <w:rPr>
                <w:rFonts w:ascii="Times New Roman" w:hAnsi="Times New Roman" w:eastAsia="Times New Roman"/>
                <w:b/>
                <w:lang w:eastAsia="ru-ru"/>
              </w:rPr>
            </w:r>
          </w:p>
        </w:tc>
        <w:tc>
          <w:tcPr>
            <w:tcW w:w="989" w:type="dxa"/>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1900</w:t>
            </w:r>
          </w:p>
        </w:tc>
        <w:tc>
          <w:tcPr>
            <w:tcW w:w="1834"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uk-ua" w:eastAsia="ru-ru"/>
              </w:rPr>
              <w:t>6589.8</w:t>
            </w:r>
            <w:r>
              <w:rPr>
                <w:rFonts w:ascii="Times New Roman" w:hAnsi="Times New Roman" w:eastAsia="Times New Roman"/>
                <w:sz w:val="20"/>
                <w:szCs w:val="20"/>
                <w:lang w:val="en-us" w:eastAsia="ru-ru"/>
              </w:rPr>
            </w:r>
          </w:p>
        </w:tc>
        <w:tc>
          <w:tcPr>
            <w:tcW w:w="1976" w:type="dxa"/>
            <w:vAlign w:val="center"/>
            <w:tcMar>
              <w:left w:w="40" w:type="dxa"/>
              <w:right w:w="4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9223788" protected="0"/>
          </w:tcPr>
          <w:p>
            <w:pPr>
              <w:ind w:firstLine="567"/>
              <w:spacing w:after="0" w:line="240" w:lineRule="auto"/>
              <w:jc w:val="center"/>
              <w:widowControl w:val="0"/>
              <w:rPr>
                <w:rFonts w:ascii="Times New Roman" w:hAnsi="Times New Roman" w:eastAsia="Times New Roman"/>
                <w:sz w:val="20"/>
                <w:szCs w:val="20"/>
                <w:lang w:eastAsia="ru-ru"/>
              </w:rPr>
            </w:pPr>
            <w:r>
              <w:rPr>
                <w:rFonts w:ascii="Times New Roman" w:hAnsi="Times New Roman" w:eastAsia="Times New Roman"/>
                <w:sz w:val="20"/>
                <w:szCs w:val="20"/>
                <w:lang w:val="uk-ua" w:eastAsia="ru-ru"/>
              </w:rPr>
              <w:t>7254.6</w:t>
            </w:r>
            <w:r>
              <w:rPr>
                <w:rFonts w:ascii="Times New Roman" w:hAnsi="Times New Roman" w:eastAsia="Times New Roman"/>
                <w:sz w:val="20"/>
                <w:szCs w:val="20"/>
                <w:lang w:eastAsia="ru-ru"/>
              </w:rPr>
            </w:r>
          </w:p>
        </w:tc>
      </w:tr>
    </w:tbl>
    <w:p>
      <w:pPr>
        <w:ind w:firstLine="567"/>
        <w:spacing w:after="0" w:line="240" w:lineRule="auto"/>
        <w:jc w:val="right"/>
        <w:widowControl w:val="0"/>
        <w:rPr>
          <w:rFonts w:ascii="Times New Roman" w:hAnsi="Times New Roman" w:eastAsia="Times New Roman"/>
          <w:b/>
          <w:lang w:val="uk-ua" w:eastAsia="ru-ru"/>
        </w:rPr>
      </w:pPr>
      <w:r>
        <w:rPr>
          <w:rFonts w:ascii="Times New Roman" w:hAnsi="Times New Roman" w:eastAsia="Times New Roman"/>
          <w:b/>
          <w:lang w:val="uk-ua" w:eastAsia="ru-ru"/>
        </w:rPr>
      </w:r>
    </w:p>
    <w:p>
      <w:pPr>
        <w:spacing w:after="0" w:line="240" w:lineRule="auto"/>
        <w:jc w:val="both"/>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r>
    </w:p>
    <w:p>
      <w:pPr>
        <w:spacing w:after="0" w:line="240" w:lineRule="auto"/>
        <w:jc w:val="both"/>
        <w:widowControl w:val="0"/>
        <w:rPr>
          <w:rFonts w:ascii="Times New Roman" w:hAnsi="Times New Roman" w:eastAsia="Times New Roman"/>
          <w:color w:val="000000"/>
          <w:sz w:val="20"/>
          <w:szCs w:val="20"/>
          <w:lang w:val="uk-ua" w:eastAsia="ru-ru"/>
        </w:rPr>
      </w:pPr>
      <w:r>
        <w:rPr>
          <w:rFonts w:ascii="Times New Roman" w:hAnsi="Times New Roman" w:eastAsia="Times New Roman"/>
          <w:color w:val="000000"/>
          <w:sz w:val="20"/>
          <w:szCs w:val="20"/>
          <w:lang w:val="uk-ua" w:eastAsia="ru-ru"/>
        </w:rPr>
        <w:t xml:space="preserve">Фiнансова звiтнiсть ПРАТ "Макіївський завод "Факел" пiдготовлена відповідно до НП(С)БО та відповідає вимогам Закону України "Про бухгалтерський облiк та фiнансову звiтнiсть в Українi" від 16.07.1999 №996-XIV щодо складання фінансової звітності, та iнших нормативних документiв, що регулюють бухгалтерський облiк в Українi. </w:t>
      </w:r>
    </w:p>
    <w:p>
      <w:pPr>
        <w:spacing w:after="0" w:line="240" w:lineRule="auto"/>
        <w:jc w:val="both"/>
        <w:widowControl w:val="0"/>
        <w:rPr>
          <w:rFonts w:ascii="Times New Roman" w:hAnsi="Times New Roman" w:eastAsia="Times New Roman"/>
          <w:color w:val="000000"/>
          <w:sz w:val="20"/>
          <w:szCs w:val="20"/>
          <w:lang w:val="uk-ua" w:eastAsia="ru-ru"/>
        </w:rPr>
      </w:pPr>
      <w:r>
        <w:rPr>
          <w:rFonts w:ascii="Times New Roman" w:hAnsi="Times New Roman" w:eastAsia="Times New Roman"/>
          <w:color w:val="000000"/>
          <w:sz w:val="20"/>
          <w:szCs w:val="20"/>
          <w:lang w:val="uk-ua" w:eastAsia="ru-ru"/>
        </w:rPr>
        <w:t xml:space="preserve">  Метою складання балансу ПРАТ "Макіївський завод "Факел" є надання користувачам повної, правдивої, неупередженої iнформацiї про фiнансовий стан пiдприємства на 31 грудня 2023 року. </w:t>
      </w:r>
    </w:p>
    <w:p>
      <w:pPr>
        <w:spacing w:after="0" w:line="240" w:lineRule="auto"/>
        <w:jc w:val="both"/>
        <w:widowControl w:val="0"/>
        <w:rPr>
          <w:rFonts w:ascii="Times New Roman" w:hAnsi="Times New Roman" w:eastAsia="Times New Roman"/>
          <w:color w:val="000000"/>
          <w:sz w:val="20"/>
          <w:szCs w:val="20"/>
          <w:lang w:val="uk-ua" w:eastAsia="ru-ru"/>
        </w:rPr>
      </w:pPr>
      <w:r>
        <w:rPr>
          <w:rFonts w:ascii="Times New Roman" w:hAnsi="Times New Roman" w:eastAsia="Times New Roman"/>
          <w:color w:val="000000"/>
          <w:sz w:val="20"/>
          <w:szCs w:val="20"/>
          <w:lang w:val="uk-ua" w:eastAsia="ru-ru"/>
        </w:rPr>
      </w:r>
    </w:p>
    <w:p>
      <w:pPr>
        <w:spacing w:after="0" w:line="240" w:lineRule="auto"/>
        <w:jc w:val="both"/>
        <w:widowControl w:val="0"/>
        <w:rPr>
          <w:rFonts w:ascii="Times New Roman" w:hAnsi="Times New Roman" w:eastAsia="Times New Roman"/>
          <w:color w:val="000000"/>
          <w:sz w:val="20"/>
          <w:szCs w:val="20"/>
          <w:lang w:val="uk-ua" w:eastAsia="ru-ru"/>
        </w:rPr>
      </w:pPr>
      <w:r>
        <w:rPr>
          <w:rFonts w:ascii="Times New Roman" w:hAnsi="Times New Roman" w:eastAsia="Times New Roman"/>
          <w:color w:val="000000"/>
          <w:sz w:val="20"/>
          <w:szCs w:val="20"/>
          <w:lang w:val="uk-ua" w:eastAsia="ru-ru"/>
        </w:rPr>
      </w:r>
    </w:p>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uk-ua" w:eastAsia="ru-ru"/>
        </w:rPr>
      </w:pPr>
      <w:r>
        <w:rPr>
          <w:rFonts w:ascii="Times New Roman" w:hAnsi="Times New Roman" w:eastAsia="Times New Roman"/>
          <w:b/>
          <w:sz w:val="20"/>
          <w:szCs w:val="20"/>
          <w:lang w:val="uk-ua" w:eastAsia="ru-ru"/>
        </w:rPr>
      </w:r>
    </w:p>
    <w:p>
      <w:pPr>
        <w:spacing w:after="0" w:line="240" w:lineRule="auto"/>
        <w:jc w:val="center"/>
        <w:widowControl w:val="0"/>
        <w:rPr>
          <w:rFonts w:ascii="Times New Roman" w:hAnsi="Times New Roman" w:eastAsia="Times New Roman"/>
          <w:b/>
          <w:bCs/>
          <w:lang w:eastAsia="ru-ru"/>
        </w:rPr>
      </w:pPr>
      <w:r>
        <w:rPr>
          <w:rFonts w:ascii="Times New Roman" w:hAnsi="Times New Roman" w:eastAsia="Times New Roman"/>
          <w:b/>
          <w:bCs/>
          <w:lang w:eastAsia="ru-ru"/>
        </w:rPr>
        <w:t xml:space="preserve">2. ЗВІТ ПРО ФІНАНСОВІ РЕЗУЛЬТАТИ </w:t>
      </w:r>
    </w:p>
    <w:p>
      <w:pPr>
        <w:spacing w:after="0" w:line="240" w:lineRule="auto"/>
        <w:jc w:val="center"/>
        <w:widowControl w:val="0"/>
        <w:rPr>
          <w:rFonts w:ascii="Times New Roman" w:hAnsi="Times New Roman" w:eastAsia="Times New Roman"/>
          <w:b/>
          <w:bCs/>
          <w:color w:val="000000"/>
          <w:lang w:eastAsia="ru-ru"/>
        </w:rPr>
      </w:pPr>
      <w:r>
        <w:rPr>
          <w:rFonts w:ascii="Times New Roman" w:hAnsi="Times New Roman" w:eastAsia="Times New Roman"/>
          <w:b/>
          <w:bCs/>
          <w:color w:val="000000"/>
          <w:lang w:val="uk-ua" w:eastAsia="ru-ru"/>
        </w:rPr>
        <w:t xml:space="preserve"> </w:t>
      </w:r>
      <w:r>
        <w:rPr>
          <w:rFonts w:ascii="Times New Roman" w:hAnsi="Times New Roman" w:eastAsia="Times New Roman"/>
          <w:b/>
          <w:bCs/>
          <w:color w:val="000000"/>
          <w:lang w:eastAsia="ru-ru"/>
        </w:rPr>
        <w:t xml:space="preserve">за рік 2023 </w:t>
      </w:r>
      <w:r>
        <w:rPr>
          <w:rFonts w:ascii="Times New Roman" w:hAnsi="Times New Roman" w:eastAsia="Times New Roman"/>
          <w:b/>
          <w:bCs/>
          <w:color w:val="000000"/>
          <w:lang w:val="uk-ua" w:eastAsia="ru-ru"/>
        </w:rPr>
        <w:t xml:space="preserve"> </w:t>
      </w:r>
      <w:r>
        <w:rPr>
          <w:rFonts w:ascii="Times New Roman" w:hAnsi="Times New Roman" w:eastAsia="Times New Roman"/>
          <w:b/>
          <w:bCs/>
          <w:color w:val="000000"/>
          <w:lang w:eastAsia="ru-ru"/>
        </w:rPr>
        <w:t>рік</w:t>
      </w:r>
      <w:r>
        <w:rPr>
          <w:rFonts w:ascii="Times New Roman" w:hAnsi="Times New Roman" w:eastAsia="Times New Roman"/>
          <w:b/>
          <w:bCs/>
          <w:color w:val="000000"/>
          <w:lang w:eastAsia="ru-ru"/>
        </w:rPr>
      </w:r>
    </w:p>
    <w:p>
      <w:pPr>
        <w:ind w:firstLine="567"/>
        <w:spacing w:after="0" w:line="240" w:lineRule="auto"/>
        <w:jc w:val="right"/>
        <w:widowControl w:val="0"/>
        <w:rPr>
          <w:rFonts w:ascii="Arial Narrow" w:hAnsi="Arial Narrow" w:eastAsia="Times New Roman" w:cs="Arial Narrow"/>
          <w:b/>
          <w:lang w:eastAsia="ru-ru"/>
        </w:rPr>
      </w:pPr>
      <w:r>
        <w:rPr>
          <w:rFonts w:ascii="Arial Narrow" w:hAnsi="Arial Narrow" w:eastAsia="Times New Roman" w:cs="Arial Narrow"/>
          <w:b/>
          <w:lang w:eastAsia="ru-ru"/>
        </w:rPr>
        <w:t>Форма N 2-м</w:t>
      </w:r>
    </w:p>
    <w:tbl>
      <w:tblPr>
        <w:tblStyle w:val="NormalTable"/>
        <w:name w:val="Таблица58"/>
        <w:tabOrder w:val="0"/>
        <w:jc w:val="left"/>
        <w:tblInd w:w="6629" w:type="dxa"/>
        <w:tblW w:w="3202" w:type="dxa"/>
        <w:tblLook w:val="00A0" w:firstRow="1" w:lastRow="0" w:firstColumn="1" w:lastColumn="0" w:noHBand="0" w:noVBand="0"/>
      </w:tblPr>
      <w:tblGrid>
        <w:gridCol w:w="2158"/>
        <w:gridCol w:w="1044"/>
      </w:tblGrid>
      <w:tr>
        <w:trPr>
          <w:cantSplit w:val="0"/>
          <w:trHeight w:val="190" w:hRule="atLeast"/>
        </w:trPr>
        <w:tc>
          <w:tcPr>
            <w:tcW w:w="2158" w:type="dxa"/>
            <w:tmTcPr id="1759223788" protected="0"/>
          </w:tcPr>
          <w:p>
            <w:pPr>
              <w:spacing w:after="0" w:line="240" w:lineRule="auto"/>
              <w:jc w:val="center"/>
              <w:widowControl w:val="0"/>
              <w:rPr>
                <w:rFonts w:ascii="Arial Narrow" w:hAnsi="Arial Narrow" w:eastAsia="Times New Roman" w:cs="Arial Narrow"/>
                <w:lang w:val="uk-ua" w:eastAsia="ru-ru"/>
              </w:rPr>
            </w:pPr>
            <w:r>
              <w:rPr>
                <w:rFonts w:ascii="Arial Narrow" w:hAnsi="Arial Narrow" w:eastAsia="Times New Roman" w:cs="Arial Narrow"/>
                <w:lang w:val="uk-ua" w:eastAsia="ru-ru"/>
              </w:rPr>
              <w:t>Код за ДКУД</w:t>
            </w:r>
          </w:p>
        </w:tc>
        <w:tc>
          <w:tcPr>
            <w:tcW w:w="1044" w:type="dxa"/>
            <w:tmTcPr id="1759223788" protected="0"/>
          </w:tcPr>
          <w:p>
            <w:pPr>
              <w:spacing w:after="0" w:line="240" w:lineRule="auto"/>
              <w:widowControl w:val="0"/>
              <w:rPr>
                <w:rFonts w:ascii="Arial Narrow" w:hAnsi="Arial Narrow" w:eastAsia="Times New Roman" w:cs="Arial Narrow"/>
                <w:lang w:val="uk-ua" w:eastAsia="ru-ru"/>
              </w:rPr>
            </w:pPr>
            <w:r>
              <w:rPr>
                <w:rFonts w:ascii="Arial Narrow" w:hAnsi="Arial Narrow" w:eastAsia="Times New Roman" w:cs="Arial Narrow"/>
                <w:lang w:val="uk-ua" w:eastAsia="ru-ru"/>
              </w:rPr>
              <w:t>1801007</w:t>
            </w:r>
          </w:p>
        </w:tc>
      </w:tr>
    </w:tbl>
    <w:p>
      <w:pPr>
        <w:spacing w:after="0" w:line="240" w:lineRule="auto"/>
        <w:jc w:val="center"/>
        <w:widowControl w:val="0"/>
        <w:rPr>
          <w:rFonts w:ascii="Arial Narrow" w:hAnsi="Arial Narrow" w:eastAsia="Times New Roman" w:cs="Arial Narrow"/>
          <w:b/>
          <w:bCs/>
          <w:sz w:val="20"/>
          <w:szCs w:val="20"/>
          <w:lang w:eastAsia="ru-ru"/>
        </w:rPr>
      </w:pPr>
      <w:r>
        <w:rPr>
          <w:rFonts w:ascii="Arial Narrow" w:hAnsi="Arial Narrow" w:eastAsia="Times New Roman" w:cs="Arial Narrow"/>
          <w:b/>
          <w:bCs/>
          <w:sz w:val="20"/>
          <w:szCs w:val="20"/>
          <w:lang w:eastAsia="ru-ru"/>
        </w:rPr>
      </w:r>
    </w:p>
    <w:tbl>
      <w:tblPr>
        <w:tblStyle w:val="NormalTable"/>
        <w:name w:val="Таблица59"/>
        <w:tabOrder w:val="0"/>
        <w:jc w:val="left"/>
        <w:tblInd w:w="40" w:type="dxa"/>
        <w:tblW w:w="9883" w:type="dxa"/>
        <w:tblLook w:val="00A0" w:firstRow="1" w:lastRow="0" w:firstColumn="1" w:lastColumn="0" w:noHBand="0" w:noVBand="0"/>
      </w:tblPr>
      <w:tblGrid>
        <w:gridCol w:w="5647"/>
        <w:gridCol w:w="1129"/>
        <w:gridCol w:w="1554"/>
        <w:gridCol w:w="1553"/>
      </w:tblGrid>
      <w:tr>
        <w:trPr>
          <w:cantSplit w:val="0"/>
          <w:trHeight w:val="0" w:hRule="auto"/>
        </w:trPr>
        <w:tc>
          <w:tcPr>
            <w:tcW w:w="5647"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val="uk-ua" w:eastAsia="ru-ru"/>
              </w:rPr>
              <w:t>Стаття</w:t>
            </w:r>
          </w:p>
        </w:tc>
        <w:tc>
          <w:tcPr>
            <w:tcW w:w="1129"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val="uk-ua" w:eastAsia="ru-ru"/>
              </w:rPr>
              <w:t>Код рядка</w:t>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val="uk-ua" w:eastAsia="ru-ru"/>
              </w:rPr>
              <w:t>За звітний період</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val="uk-ua" w:eastAsia="ru-ru"/>
              </w:rPr>
              <w:t>За аналогічний період попереднього року</w:t>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val="uk-ua" w:eastAsia="ru-ru"/>
              </w:rPr>
              <w:t>1</w:t>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val="uk-ua" w:eastAsia="ru-ru"/>
              </w:rPr>
              <w:t>2</w:t>
            </w:r>
          </w:p>
        </w:tc>
        <w:tc>
          <w:tcPr>
            <w:tcW w:w="1554"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val="uk-ua" w:eastAsia="ru-ru"/>
              </w:rPr>
              <w:t>3</w:t>
            </w:r>
          </w:p>
        </w:tc>
        <w:tc>
          <w:tcPr>
            <w:tcW w:w="1553"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b/>
                <w:bCs/>
                <w:sz w:val="20"/>
                <w:szCs w:val="20"/>
                <w:lang w:val="uk-ua" w:eastAsia="ru-ru"/>
              </w:rPr>
            </w:pPr>
            <w:r>
              <w:rPr>
                <w:rFonts w:ascii="Times New Roman" w:hAnsi="Times New Roman" w:eastAsia="Times New Roman"/>
                <w:b/>
                <w:bCs/>
                <w:sz w:val="20"/>
                <w:szCs w:val="20"/>
                <w:lang w:val="uk-ua" w:eastAsia="ru-ru"/>
              </w:rPr>
              <w:t>4</w:t>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Чистий дохід від реалізації продукції (товарів, робіт, послуг)</w:t>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2000</w:t>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13383.7</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6774.5</w:t>
            </w:r>
            <w:r>
              <w:rPr>
                <w:rFonts w:ascii="Times New Roman" w:hAnsi="Times New Roman" w:eastAsia="Times New Roman"/>
                <w:sz w:val="20"/>
                <w:szCs w:val="20"/>
                <w:lang w:val="uk-ua" w:eastAsia="ru-ru"/>
              </w:rPr>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Інші операційні доходи</w:t>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2120</w:t>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5.3</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16.1</w:t>
            </w:r>
            <w:r>
              <w:rPr>
                <w:rFonts w:ascii="Times New Roman" w:hAnsi="Times New Roman" w:eastAsia="Times New Roman"/>
                <w:sz w:val="20"/>
                <w:szCs w:val="20"/>
                <w:lang w:val="uk-ua" w:eastAsia="ru-ru"/>
              </w:rPr>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Інші доходи</w:t>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2240</w:t>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w:t>
            </w:r>
            <w:r>
              <w:rPr>
                <w:rFonts w:ascii="Times New Roman" w:hAnsi="Times New Roman" w:eastAsia="Times New Roman"/>
                <w:sz w:val="20"/>
                <w:szCs w:val="20"/>
                <w:lang w:val="uk-ua" w:eastAsia="ru-ru"/>
              </w:rPr>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b/>
                <w:sz w:val="20"/>
                <w:szCs w:val="20"/>
                <w:lang w:val="uk-ua" w:eastAsia="ru-ru"/>
              </w:rPr>
              <w:t>Разом доходи</w:t>
            </w:r>
            <w:r>
              <w:rPr>
                <w:rFonts w:ascii="Times New Roman" w:hAnsi="Times New Roman" w:eastAsia="Times New Roman"/>
                <w:sz w:val="20"/>
                <w:szCs w:val="20"/>
                <w:lang w:val="uk-ua" w:eastAsia="ru-ru"/>
              </w:rPr>
              <w:t xml:space="preserve"> ( 2000 + 2120 + 2240)</w:t>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2280</w:t>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13389.0</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6790.6</w:t>
            </w:r>
            <w:r>
              <w:rPr>
                <w:rFonts w:ascii="Times New Roman" w:hAnsi="Times New Roman" w:eastAsia="Times New Roman"/>
                <w:sz w:val="20"/>
                <w:szCs w:val="20"/>
                <w:lang w:val="uk-ua" w:eastAsia="ru-ru"/>
              </w:rPr>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sz w:val="20"/>
                <w:szCs w:val="20"/>
                <w:lang w:val="uk-ua" w:eastAsia="ru-ru"/>
              </w:rPr>
            </w:pPr>
            <w:r>
              <w:rPr>
                <w:rFonts w:ascii="Times New Roman" w:hAnsi="Times New Roman" w:eastAsia="Times New Roman"/>
                <w:color w:val="000000"/>
                <w:sz w:val="20"/>
                <w:szCs w:val="20"/>
                <w:lang w:eastAsia="ru-ru"/>
              </w:rPr>
              <w:t>Собівартість реалізованої</w:t>
            </w:r>
            <w:r>
              <w:rPr>
                <w:rFonts w:ascii="Times New Roman" w:hAnsi="Times New Roman" w:eastAsia="Times New Roman"/>
                <w:color w:val="000000"/>
                <w:sz w:val="20"/>
                <w:szCs w:val="20"/>
                <w:lang w:val="uk-ua" w:eastAsia="ru-ru"/>
              </w:rPr>
              <w:t xml:space="preserve"> </w:t>
            </w:r>
            <w:r>
              <w:rPr>
                <w:rFonts w:ascii="Times New Roman" w:hAnsi="Times New Roman" w:eastAsia="Times New Roman"/>
                <w:color w:val="000000"/>
                <w:sz w:val="20"/>
                <w:szCs w:val="20"/>
                <w:lang w:eastAsia="ru-ru"/>
              </w:rPr>
              <w:t>продукції (товарів, робіт,</w:t>
            </w:r>
            <w:r>
              <w:rPr>
                <w:rFonts w:ascii="Times New Roman" w:hAnsi="Times New Roman" w:eastAsia="Times New Roman"/>
                <w:color w:val="000000"/>
                <w:sz w:val="20"/>
                <w:szCs w:val="20"/>
                <w:lang w:val="uk-ua" w:eastAsia="ru-ru"/>
              </w:rPr>
              <w:t>послуг)</w:t>
            </w:r>
            <w:r>
              <w:rPr>
                <w:rFonts w:ascii="Times New Roman" w:hAnsi="Times New Roman" w:eastAsia="Times New Roman"/>
                <w:sz w:val="20"/>
                <w:szCs w:val="20"/>
                <w:lang w:val="uk-ua" w:eastAsia="ru-ru"/>
              </w:rPr>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2050</w:t>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( 10827.2 )</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( 5207.8 )</w:t>
            </w:r>
            <w:r>
              <w:rPr>
                <w:rFonts w:ascii="Times New Roman" w:hAnsi="Times New Roman" w:eastAsia="Times New Roman"/>
                <w:sz w:val="20"/>
                <w:szCs w:val="20"/>
                <w:lang w:val="uk-ua" w:eastAsia="ru-ru"/>
              </w:rPr>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Інші операційні витрати</w:t>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2180</w:t>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( 2397.7 )</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( 1537.8 )</w:t>
            </w:r>
            <w:r>
              <w:rPr>
                <w:rFonts w:ascii="Times New Roman" w:hAnsi="Times New Roman" w:eastAsia="Times New Roman"/>
                <w:sz w:val="20"/>
                <w:szCs w:val="20"/>
                <w:lang w:val="uk-ua" w:eastAsia="ru-ru"/>
              </w:rPr>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Інші витрати</w:t>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2270</w:t>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    --    )</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    --    )</w:t>
            </w:r>
            <w:r>
              <w:rPr>
                <w:rFonts w:ascii="Times New Roman" w:hAnsi="Times New Roman" w:eastAsia="Times New Roman"/>
                <w:sz w:val="20"/>
                <w:szCs w:val="20"/>
                <w:lang w:val="uk-ua" w:eastAsia="ru-ru"/>
              </w:rPr>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sz w:val="20"/>
                <w:szCs w:val="20"/>
                <w:lang w:val="uk-ua" w:eastAsia="ru-ru"/>
              </w:rPr>
            </w:pPr>
            <w:r>
              <w:rPr>
                <w:rFonts w:ascii="Times New Roman" w:hAnsi="Times New Roman" w:eastAsia="Times New Roman"/>
                <w:b/>
                <w:color w:val="000000"/>
                <w:sz w:val="20"/>
                <w:szCs w:val="20"/>
                <w:lang w:eastAsia="ru-ru"/>
              </w:rPr>
              <w:t>Разом витрати (</w:t>
            </w:r>
            <w:r>
              <w:rPr>
                <w:rFonts w:ascii="Times New Roman" w:hAnsi="Times New Roman" w:eastAsia="Times New Roman"/>
                <w:b/>
                <w:color w:val="000000"/>
                <w:sz w:val="20"/>
                <w:szCs w:val="20"/>
                <w:lang w:val="uk-ua" w:eastAsia="ru-ru"/>
              </w:rPr>
              <w:t>2</w:t>
            </w:r>
            <w:r>
              <w:rPr>
                <w:rFonts w:ascii="Times New Roman" w:hAnsi="Times New Roman" w:eastAsia="Times New Roman"/>
                <w:b/>
                <w:color w:val="000000"/>
                <w:sz w:val="20"/>
                <w:szCs w:val="20"/>
                <w:lang w:eastAsia="ru-ru"/>
              </w:rPr>
              <w:t>0</w:t>
            </w:r>
            <w:r>
              <w:rPr>
                <w:rFonts w:ascii="Times New Roman" w:hAnsi="Times New Roman" w:eastAsia="Times New Roman"/>
                <w:b/>
                <w:color w:val="000000"/>
                <w:sz w:val="20"/>
                <w:szCs w:val="20"/>
                <w:lang w:val="uk-ua" w:eastAsia="ru-ru"/>
              </w:rPr>
              <w:t>5</w:t>
            </w:r>
            <w:r>
              <w:rPr>
                <w:rFonts w:ascii="Times New Roman" w:hAnsi="Times New Roman" w:eastAsia="Times New Roman"/>
                <w:b/>
                <w:color w:val="000000"/>
                <w:sz w:val="20"/>
                <w:szCs w:val="20"/>
                <w:lang w:eastAsia="ru-ru"/>
              </w:rPr>
              <w:t xml:space="preserve">0 + </w:t>
            </w:r>
            <w:r>
              <w:rPr>
                <w:rFonts w:ascii="Times New Roman" w:hAnsi="Times New Roman" w:eastAsia="Times New Roman"/>
                <w:b/>
                <w:color w:val="000000"/>
                <w:sz w:val="20"/>
                <w:szCs w:val="20"/>
                <w:lang w:val="uk-ua" w:eastAsia="ru-ru"/>
              </w:rPr>
              <w:t>2180</w:t>
            </w:r>
            <w:r>
              <w:rPr>
                <w:rFonts w:ascii="Times New Roman" w:hAnsi="Times New Roman" w:eastAsia="Times New Roman"/>
                <w:b/>
                <w:color w:val="000000"/>
                <w:sz w:val="20"/>
                <w:szCs w:val="20"/>
                <w:lang w:eastAsia="ru-ru"/>
              </w:rPr>
              <w:t xml:space="preserve">+ </w:t>
            </w:r>
            <w:r>
              <w:rPr>
                <w:rFonts w:ascii="Times New Roman" w:hAnsi="Times New Roman" w:eastAsia="Times New Roman"/>
                <w:b/>
                <w:color w:val="000000"/>
                <w:sz w:val="20"/>
                <w:szCs w:val="20"/>
                <w:lang w:val="uk-ua" w:eastAsia="ru-ru"/>
              </w:rPr>
              <w:t>2270</w:t>
            </w:r>
            <w:r>
              <w:rPr>
                <w:rFonts w:ascii="Times New Roman" w:hAnsi="Times New Roman" w:eastAsia="Times New Roman"/>
                <w:b/>
                <w:color w:val="000000"/>
                <w:sz w:val="20"/>
                <w:szCs w:val="20"/>
                <w:lang w:eastAsia="ru-ru"/>
              </w:rPr>
              <w:t>)</w:t>
            </w:r>
            <w:r>
              <w:rPr>
                <w:rFonts w:ascii="Times New Roman" w:hAnsi="Times New Roman" w:eastAsia="Times New Roman"/>
                <w:sz w:val="20"/>
                <w:szCs w:val="20"/>
                <w:lang w:val="uk-ua" w:eastAsia="ru-ru"/>
              </w:rPr>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2285</w:t>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( 13224.9 )</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( 6745.6 )</w:t>
            </w:r>
            <w:r>
              <w:rPr>
                <w:rFonts w:ascii="Times New Roman" w:hAnsi="Times New Roman" w:eastAsia="Times New Roman"/>
                <w:sz w:val="20"/>
                <w:szCs w:val="20"/>
                <w:lang w:val="uk-ua" w:eastAsia="ru-ru"/>
              </w:rPr>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uk-ua" w:eastAsia="ru-ru"/>
              </w:rPr>
            </w:pPr>
            <w:r>
              <w:rPr>
                <w:rFonts w:ascii="Times New Roman" w:hAnsi="Times New Roman" w:eastAsia="Times New Roman"/>
                <w:b/>
                <w:color w:val="000000"/>
                <w:sz w:val="20"/>
                <w:szCs w:val="20"/>
                <w:lang w:eastAsia="ru-ru"/>
              </w:rPr>
              <w:t>Фінансовий результат до оподаткування (</w:t>
            </w:r>
            <w:r>
              <w:rPr>
                <w:rFonts w:ascii="Times New Roman" w:hAnsi="Times New Roman" w:eastAsia="Times New Roman"/>
                <w:b/>
                <w:color w:val="000000"/>
                <w:sz w:val="20"/>
                <w:szCs w:val="20"/>
                <w:lang w:val="en-us" w:eastAsia="ru-ru"/>
              </w:rPr>
              <w:t xml:space="preserve">2280 </w:t>
            </w:r>
            <w:r>
              <w:rPr>
                <w:rFonts w:ascii="Times New Roman" w:hAnsi="Times New Roman" w:eastAsia="Times New Roman"/>
                <w:b/>
                <w:color w:val="000000"/>
                <w:sz w:val="20"/>
                <w:szCs w:val="20"/>
                <w:lang w:eastAsia="ru-ru"/>
              </w:rPr>
              <w:t xml:space="preserve">– </w:t>
            </w:r>
            <w:r>
              <w:rPr>
                <w:rFonts w:ascii="Times New Roman" w:hAnsi="Times New Roman" w:eastAsia="Times New Roman"/>
                <w:b/>
                <w:color w:val="000000"/>
                <w:sz w:val="20"/>
                <w:szCs w:val="20"/>
                <w:lang w:val="en-us" w:eastAsia="ru-ru"/>
              </w:rPr>
              <w:t>2285</w:t>
            </w:r>
            <w:r>
              <w:rPr>
                <w:rFonts w:ascii="Times New Roman" w:hAnsi="Times New Roman" w:eastAsia="Times New Roman"/>
                <w:b/>
                <w:color w:val="000000"/>
                <w:sz w:val="20"/>
                <w:szCs w:val="20"/>
                <w:lang w:eastAsia="ru-ru"/>
              </w:rPr>
              <w:t xml:space="preserve">) </w:t>
            </w:r>
            <w:r>
              <w:rPr>
                <w:rFonts w:ascii="Times New Roman" w:hAnsi="Times New Roman" w:eastAsia="Times New Roman"/>
                <w:b/>
                <w:sz w:val="20"/>
                <w:szCs w:val="20"/>
                <w:lang w:val="uk-ua" w:eastAsia="ru-ru"/>
              </w:rPr>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2290</w:t>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164.1</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45.0</w:t>
            </w:r>
            <w:r>
              <w:rPr>
                <w:rFonts w:ascii="Times New Roman" w:hAnsi="Times New Roman" w:eastAsia="Times New Roman"/>
                <w:sz w:val="20"/>
                <w:szCs w:val="20"/>
                <w:lang w:val="uk-ua" w:eastAsia="ru-ru"/>
              </w:rPr>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Податок на прибуток</w:t>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2300</w:t>
            </w:r>
            <w:r>
              <w:rPr>
                <w:rFonts w:ascii="Times New Roman" w:hAnsi="Times New Roman" w:eastAsia="Times New Roman"/>
                <w:sz w:val="20"/>
                <w:szCs w:val="20"/>
                <w:lang w:val="uk-ua" w:eastAsia="ru-ru"/>
              </w:rPr>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    --    )</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    --    )</w:t>
            </w:r>
            <w:r>
              <w:rPr>
                <w:rFonts w:ascii="Times New Roman" w:hAnsi="Times New Roman" w:eastAsia="Times New Roman"/>
                <w:sz w:val="20"/>
                <w:szCs w:val="20"/>
                <w:lang w:val="uk-ua" w:eastAsia="ru-ru"/>
              </w:rPr>
            </w:r>
          </w:p>
        </w:tc>
      </w:tr>
      <w:tr>
        <w:trPr>
          <w:cantSplit w:val="0"/>
          <w:trHeight w:val="0" w:hRule="auto"/>
        </w:trPr>
        <w:tc>
          <w:tcPr>
            <w:tcW w:w="5647"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widowControl w:val="0"/>
              <w:rPr>
                <w:rFonts w:ascii="Times New Roman" w:hAnsi="Times New Roman" w:eastAsia="Times New Roman"/>
                <w:sz w:val="20"/>
                <w:szCs w:val="20"/>
                <w:lang w:val="uk-ua" w:eastAsia="ru-ru"/>
              </w:rPr>
            </w:pPr>
            <w:r>
              <w:rPr>
                <w:rFonts w:ascii="Times New Roman" w:hAnsi="Times New Roman" w:eastAsia="Times New Roman"/>
                <w:b/>
                <w:sz w:val="20"/>
                <w:szCs w:val="20"/>
                <w:lang w:val="uk-ua" w:eastAsia="ru-ru"/>
              </w:rPr>
              <w:t>Чистий прибуток (збиток) ( 2290 – 2300 )</w:t>
            </w:r>
            <w:r>
              <w:rPr>
                <w:rFonts w:ascii="Times New Roman" w:hAnsi="Times New Roman" w:eastAsia="Times New Roman"/>
                <w:sz w:val="20"/>
                <w:szCs w:val="20"/>
                <w:lang w:val="uk-ua" w:eastAsia="ru-ru"/>
              </w:rPr>
            </w:r>
          </w:p>
        </w:tc>
        <w:tc>
          <w:tcPr>
            <w:tcW w:w="1129" w:type="dxa"/>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uk-ua" w:eastAsia="ru-ru"/>
              </w:rPr>
              <w:t>2350</w:t>
            </w:r>
          </w:p>
        </w:tc>
        <w:tc>
          <w:tcPr>
            <w:tcW w:w="1554"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164.1</w:t>
            </w:r>
          </w:p>
        </w:tc>
        <w:tc>
          <w:tcPr>
            <w:tcW w:w="1553" w:type="dxa"/>
            <w:vAlign w:val="center"/>
            <w:tcMar>
              <w:left w:w="40" w:type="dxa"/>
              <w:right w:w="4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9223788" protected="0"/>
          </w:tcPr>
          <w:p>
            <w:pPr>
              <w:spacing w:after="0" w:line="240" w:lineRule="auto"/>
              <w:jc w:val="center"/>
              <w:widowControl w:val="0"/>
              <w:rPr>
                <w:rFonts w:ascii="Times New Roman" w:hAnsi="Times New Roman" w:eastAsia="Times New Roman"/>
                <w:sz w:val="20"/>
                <w:szCs w:val="20"/>
                <w:lang w:val="uk-ua" w:eastAsia="ru-ru"/>
              </w:rPr>
            </w:pPr>
            <w:r>
              <w:rPr>
                <w:rFonts w:ascii="Times New Roman" w:hAnsi="Times New Roman" w:eastAsia="Times New Roman"/>
                <w:sz w:val="20"/>
                <w:szCs w:val="20"/>
                <w:lang w:val="en-us" w:eastAsia="ru-ru"/>
              </w:rPr>
              <w:t>45.0</w:t>
            </w:r>
            <w:r>
              <w:rPr>
                <w:rFonts w:ascii="Times New Roman" w:hAnsi="Times New Roman" w:eastAsia="Times New Roman"/>
                <w:sz w:val="20"/>
                <w:szCs w:val="20"/>
                <w:lang w:val="uk-ua" w:eastAsia="ru-ru"/>
              </w:rPr>
            </w:r>
          </w:p>
        </w:tc>
      </w:tr>
    </w:tbl>
    <w:p>
      <w:pPr>
        <w:spacing w:after="0" w:line="240" w:lineRule="auto"/>
        <w:jc w:val="both"/>
        <w:widowControl w:val="0"/>
        <w:rPr>
          <w:rFonts w:ascii="Arial Narrow" w:hAnsi="Arial Narrow" w:eastAsia="Times New Roman" w:cs="Arial Narrow"/>
          <w:sz w:val="20"/>
          <w:szCs w:val="20"/>
          <w:lang w:eastAsia="ru-ru"/>
        </w:rPr>
      </w:pPr>
      <w:r>
        <w:rPr>
          <w:rFonts w:ascii="Arial Narrow" w:hAnsi="Arial Narrow" w:eastAsia="Times New Roman" w:cs="Arial Narrow"/>
          <w:sz w:val="20"/>
          <w:szCs w:val="20"/>
          <w:lang w:eastAsia="ru-ru"/>
        </w:rPr>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Зв</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т про ф</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нансов</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 xml:space="preserve"> результати сформовано наростаючим п</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дсумком за 2023 р</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 xml:space="preserve">к. </w:t>
      </w:r>
      <w:r>
        <w:rPr>
          <w:rFonts w:ascii="Times New Roman" w:hAnsi="Times New Roman" w:eastAsia="Times New Roman"/>
          <w:color w:val="000000"/>
          <w:sz w:val="20"/>
          <w:szCs w:val="20"/>
          <w:lang w:eastAsia="ru-ru"/>
        </w:rPr>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Ф</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НАНСОВ</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 xml:space="preserve"> РЕЗУЛЬТАТИ </w:t>
      </w:r>
      <w:r>
        <w:rPr>
          <w:rFonts w:ascii="Times New Roman" w:hAnsi="Times New Roman" w:eastAsia="Times New Roman"/>
          <w:color w:val="000000"/>
          <w:sz w:val="20"/>
          <w:szCs w:val="20"/>
          <w:lang w:eastAsia="ru-ru"/>
        </w:rPr>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Ряд.2000 Чистий дох</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д в</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д реал</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зац</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ї продукц</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ї (товар</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в, роб</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 xml:space="preserve">т, послуг) склав 13383,7грн. </w:t>
      </w:r>
      <w:r>
        <w:rPr>
          <w:rFonts w:ascii="Times New Roman" w:hAnsi="Times New Roman" w:eastAsia="Times New Roman"/>
          <w:color w:val="000000"/>
          <w:sz w:val="20"/>
          <w:szCs w:val="20"/>
          <w:lang w:eastAsia="ru-ru"/>
        </w:rPr>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Ряд.2120 </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нш</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 xml:space="preserve"> операц</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йн</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 xml:space="preserve"> доходи - 5,3 тис.грн.</w:t>
      </w:r>
      <w:r>
        <w:rPr>
          <w:rFonts w:ascii="Times New Roman" w:hAnsi="Times New Roman" w:eastAsia="Times New Roman"/>
          <w:color w:val="000000"/>
          <w:sz w:val="20"/>
          <w:szCs w:val="20"/>
          <w:lang w:eastAsia="ru-ru"/>
        </w:rPr>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w:t>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Ряд.2050 Соб</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варт</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сть реал</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зованої продукц</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ї (товар</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в, роб</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 xml:space="preserve">т, послуг) - 10827,2.грн. </w:t>
      </w:r>
      <w:r>
        <w:rPr>
          <w:rFonts w:ascii="Times New Roman" w:hAnsi="Times New Roman" w:eastAsia="Times New Roman"/>
          <w:color w:val="000000"/>
          <w:sz w:val="20"/>
          <w:szCs w:val="20"/>
          <w:lang w:eastAsia="ru-ru"/>
        </w:rPr>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Ряд.2180 </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нш</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 xml:space="preserve"> операц</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йн</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 xml:space="preserve"> витрати склали 2397,7 грн., з них: </w:t>
      </w:r>
      <w:r>
        <w:rPr>
          <w:rFonts w:ascii="Times New Roman" w:hAnsi="Times New Roman" w:eastAsia="Times New Roman"/>
          <w:color w:val="000000"/>
          <w:sz w:val="20"/>
          <w:szCs w:val="20"/>
          <w:lang w:eastAsia="ru-ru"/>
        </w:rPr>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Витрати на оплату прац</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 xml:space="preserve"> - 262,2 тис.грн.; </w:t>
      </w:r>
      <w:r>
        <w:rPr>
          <w:rFonts w:ascii="Times New Roman" w:hAnsi="Times New Roman" w:eastAsia="Times New Roman"/>
          <w:color w:val="000000"/>
          <w:sz w:val="20"/>
          <w:szCs w:val="20"/>
          <w:lang w:eastAsia="ru-ru"/>
        </w:rPr>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В</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драхування на соц</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альн</w:t>
      </w:r>
      <w:r>
        <w:rPr>
          <w:rFonts w:ascii="Times New Roman" w:hAnsi="Times New Roman" w:eastAsia="Times New Roman"/>
          <w:color w:val="000000"/>
          <w:sz w:val="20"/>
          <w:szCs w:val="20"/>
          <w:lang w:val="en-us" w:eastAsia="ru-ru"/>
        </w:rPr>
        <w:t>i</w:t>
      </w:r>
      <w:r>
        <w:rPr>
          <w:rFonts w:ascii="Times New Roman" w:hAnsi="Times New Roman" w:eastAsia="Times New Roman"/>
          <w:color w:val="000000"/>
          <w:sz w:val="20"/>
          <w:szCs w:val="20"/>
          <w:lang w:eastAsia="ru-ru"/>
        </w:rPr>
        <w:t xml:space="preserve"> заходи -93,6</w:t>
      </w:r>
      <w:r>
        <w:rPr>
          <w:rFonts w:ascii="Times New Roman" w:hAnsi="Times New Roman" w:eastAsia="Times New Roman"/>
          <w:color w:val="000000"/>
          <w:sz w:val="20"/>
          <w:szCs w:val="20"/>
          <w:lang w:eastAsia="ru-ru"/>
        </w:rPr>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Витрати на амортизацію - 0,3 тис. грн.</w:t>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Інші адміністративні витрати (юридичні, консультаційні та інші офісні) -2041,6 тис. грн.</w:t>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p>
    <w:p>
      <w:pPr>
        <w:spacing w:after="0" w:line="240" w:lineRule="auto"/>
        <w:jc w:val="both"/>
        <w:widowControl w:val="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Ряд.2350 Чистий прибуток ПРАТ "Макіївський завод "Факел" у 2022 році склав 164,1тис. грн.</w:t>
      </w:r>
    </w:p>
    <w:p>
      <w:pPr>
        <w:spacing w:after="0" w:line="240" w:lineRule="auto"/>
        <w:jc w:val="both"/>
        <w:widowControl w:val="0"/>
        <w:rPr>
          <w:rFonts w:ascii="Times New Roman" w:hAnsi="Times New Roman" w:eastAsia="Times New Roman"/>
          <w:b/>
          <w:color w:val="000000"/>
          <w:sz w:val="20"/>
          <w:szCs w:val="20"/>
          <w:lang w:eastAsia="ru-ru"/>
        </w:rPr>
      </w:pPr>
      <w:r>
        <w:rPr>
          <w:rFonts w:ascii="Times New Roman" w:hAnsi="Times New Roman" w:eastAsia="Times New Roman"/>
          <w:b/>
          <w:color w:val="000000"/>
          <w:sz w:val="20"/>
          <w:szCs w:val="20"/>
          <w:lang w:eastAsia="ru-ru"/>
        </w:rPr>
      </w:r>
    </w:p>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p>
    <w:tbl>
      <w:tblPr>
        <w:tblStyle w:val="NormalTable"/>
        <w:name w:val="Таблица60"/>
        <w:tabOrder w:val="0"/>
        <w:jc w:val="left"/>
        <w:tblInd w:w="0" w:type="dxa"/>
        <w:tblW w:w="10173" w:type="dxa"/>
        <w:tblLook w:val="01E0" w:firstRow="1" w:lastRow="1" w:firstColumn="1" w:lastColumn="1" w:noHBand="0" w:noVBand="0"/>
      </w:tblPr>
      <w:tblGrid>
        <w:gridCol w:w="2943"/>
        <w:gridCol w:w="2765"/>
        <w:gridCol w:w="4465"/>
      </w:tblGrid>
      <w:tr>
        <w:trPr>
          <w:cantSplit w:val="0"/>
          <w:trHeight w:val="0" w:hRule="auto"/>
        </w:trPr>
        <w:tc>
          <w:tcPr>
            <w:tcW w:w="2943" w:type="dxa"/>
            <w:tmTcPr id="1759223788"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sz w:val="20"/>
                <w:szCs w:val="20"/>
                <w:lang w:val="en-us" w:eastAsia="ru-ru"/>
              </w:rPr>
              <w:t>Голова правління</w:t>
            </w:r>
          </w:p>
        </w:tc>
        <w:tc>
          <w:tcPr>
            <w:tcW w:w="2765" w:type="dxa"/>
            <w:vAlign w:val="center"/>
            <w:tmTcPr id="1759223788" protected="0"/>
          </w:tcPr>
          <w:p>
            <w:pPr>
              <w:spacing w:after="0" w:line="240" w:lineRule="auto"/>
              <w:jc w:val="center"/>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color w:val="000000"/>
                <w:sz w:val="20"/>
                <w:szCs w:val="20"/>
                <w:lang w:val="en-us" w:eastAsia="ru-ru"/>
              </w:rPr>
              <w:t>________________</w:t>
            </w:r>
            <w:r>
              <w:rPr>
                <w:rFonts w:ascii="Times New Roman" w:hAnsi="Times New Roman" w:eastAsia="Times New Roman"/>
                <w:b/>
                <w:sz w:val="20"/>
                <w:szCs w:val="20"/>
                <w:lang w:val="en-us" w:eastAsia="ru-ru"/>
              </w:rPr>
            </w:r>
          </w:p>
        </w:tc>
        <w:tc>
          <w:tcPr>
            <w:tcW w:w="4465" w:type="dxa"/>
            <w:tmTcPr id="1759223788"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sz w:val="20"/>
                <w:szCs w:val="20"/>
                <w:lang w:val="en-us" w:eastAsia="ru-ru"/>
              </w:rPr>
              <w:t>Горда Максим Сергiйович</w:t>
            </w:r>
          </w:p>
        </w:tc>
      </w:tr>
      <w:tr>
        <w:trPr>
          <w:cantSplit w:val="0"/>
          <w:trHeight w:val="0" w:hRule="auto"/>
        </w:trPr>
        <w:tc>
          <w:tcPr>
            <w:tcW w:w="2943" w:type="dxa"/>
            <w:tmTcPr id="1759223788"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sz w:val="20"/>
                <w:szCs w:val="20"/>
                <w:lang w:val="en-us" w:eastAsia="ru-ru"/>
              </w:rPr>
            </w:r>
          </w:p>
        </w:tc>
        <w:tc>
          <w:tcPr>
            <w:tcW w:w="2765" w:type="dxa"/>
            <w:vAlign w:val="center"/>
            <w:tmTcPr id="1759223788" protected="0"/>
          </w:tcPr>
          <w:p>
            <w:pPr>
              <w:spacing w:after="0" w:line="240" w:lineRule="auto"/>
              <w:jc w:val="center"/>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color w:val="000000"/>
                <w:sz w:val="16"/>
                <w:szCs w:val="16"/>
                <w:lang w:val="en-us" w:eastAsia="ru-ru"/>
              </w:rPr>
              <w:t>(</w:t>
            </w:r>
            <w:r>
              <w:rPr>
                <w:rFonts w:ascii="Times New Roman" w:hAnsi="Times New Roman" w:eastAsia="Times New Roman"/>
                <w:b/>
                <w:color w:val="000000"/>
                <w:sz w:val="16"/>
                <w:szCs w:val="16"/>
                <w:lang w:eastAsia="ru-ru"/>
              </w:rPr>
              <w:t>підпис</w:t>
            </w:r>
            <w:r>
              <w:rPr>
                <w:rFonts w:ascii="Times New Roman" w:hAnsi="Times New Roman" w:eastAsia="Times New Roman"/>
                <w:b/>
                <w:color w:val="000000"/>
                <w:sz w:val="16"/>
                <w:szCs w:val="16"/>
                <w:lang w:val="en-us" w:eastAsia="ru-ru"/>
              </w:rPr>
              <w:t>)</w:t>
            </w:r>
            <w:r>
              <w:rPr>
                <w:rFonts w:ascii="Times New Roman" w:hAnsi="Times New Roman" w:eastAsia="Times New Roman"/>
                <w:b/>
                <w:sz w:val="20"/>
                <w:szCs w:val="20"/>
                <w:lang w:val="en-us" w:eastAsia="ru-ru"/>
              </w:rPr>
            </w:r>
          </w:p>
        </w:tc>
        <w:tc>
          <w:tcPr>
            <w:tcW w:w="4465" w:type="dxa"/>
            <w:tmTcPr id="1759223788"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sz w:val="20"/>
                <w:szCs w:val="20"/>
                <w:lang w:val="en-us" w:eastAsia="ru-ru"/>
              </w:rPr>
            </w:r>
          </w:p>
        </w:tc>
      </w:tr>
      <w:tr>
        <w:trPr>
          <w:cantSplit w:val="0"/>
          <w:trHeight w:val="0" w:hRule="auto"/>
        </w:trPr>
        <w:tc>
          <w:tcPr>
            <w:tcW w:w="2943" w:type="dxa"/>
            <w:tmTcPr id="1759223788"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sz w:val="20"/>
                <w:szCs w:val="20"/>
                <w:lang w:val="en-us" w:eastAsia="ru-ru"/>
              </w:rPr>
            </w:r>
          </w:p>
        </w:tc>
        <w:tc>
          <w:tcPr>
            <w:tcW w:w="2765" w:type="dxa"/>
            <w:vAlign w:val="center"/>
            <w:tmTcPr id="1759223788" protected="0"/>
          </w:tcPr>
          <w:p>
            <w:pPr>
              <w:spacing w:after="0" w:line="240" w:lineRule="auto"/>
              <w:jc w:val="center"/>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sz w:val="20"/>
                <w:szCs w:val="20"/>
                <w:lang w:val="en-us" w:eastAsia="ru-ru"/>
              </w:rPr>
            </w:r>
          </w:p>
        </w:tc>
        <w:tc>
          <w:tcPr>
            <w:tcW w:w="4465" w:type="dxa"/>
            <w:tmTcPr id="1759223788"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sz w:val="20"/>
                <w:szCs w:val="20"/>
                <w:lang w:val="en-us" w:eastAsia="ru-ru"/>
              </w:rPr>
            </w:r>
          </w:p>
        </w:tc>
      </w:tr>
      <w:tr>
        <w:trPr>
          <w:cantSplit w:val="0"/>
          <w:trHeight w:val="70" w:hRule="atLeast"/>
        </w:trPr>
        <w:tc>
          <w:tcPr>
            <w:tcW w:w="2943" w:type="dxa"/>
            <w:tmTcPr id="1759223788"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sz w:val="20"/>
                <w:szCs w:val="20"/>
                <w:lang w:eastAsia="ru-ru"/>
              </w:rPr>
              <w:t>Головний бухгалтер</w:t>
            </w:r>
            <w:r>
              <w:rPr>
                <w:rFonts w:ascii="Times New Roman" w:hAnsi="Times New Roman" w:eastAsia="Times New Roman"/>
                <w:b/>
                <w:color w:val="000000"/>
                <w:sz w:val="20"/>
                <w:szCs w:val="20"/>
                <w:lang w:eastAsia="ru-ru"/>
              </w:rPr>
              <w:t xml:space="preserve"> </w:t>
            </w:r>
            <w:r>
              <w:rPr>
                <w:rFonts w:ascii="Times New Roman" w:hAnsi="Times New Roman" w:eastAsia="Times New Roman"/>
                <w:b/>
                <w:color w:val="000000"/>
                <w:sz w:val="20"/>
                <w:szCs w:val="20"/>
                <w:lang w:val="uk-ua" w:eastAsia="ru-ru"/>
              </w:rPr>
              <w:t xml:space="preserve">   </w:t>
            </w:r>
            <w:r>
              <w:rPr>
                <w:rFonts w:ascii="Times New Roman" w:hAnsi="Times New Roman" w:eastAsia="Times New Roman"/>
                <w:b/>
                <w:sz w:val="20"/>
                <w:szCs w:val="20"/>
                <w:lang w:val="en-us" w:eastAsia="ru-ru"/>
              </w:rPr>
            </w:r>
          </w:p>
        </w:tc>
        <w:tc>
          <w:tcPr>
            <w:tcW w:w="2765" w:type="dxa"/>
            <w:vAlign w:val="center"/>
            <w:tmTcPr id="1759223788" protected="0"/>
          </w:tcPr>
          <w:p>
            <w:pPr>
              <w:spacing w:after="0" w:line="240" w:lineRule="auto"/>
              <w:jc w:val="center"/>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color w:val="000000"/>
                <w:sz w:val="20"/>
                <w:szCs w:val="20"/>
                <w:lang w:val="en-us" w:eastAsia="ru-ru"/>
              </w:rPr>
              <w:t>________________</w:t>
            </w:r>
            <w:r>
              <w:rPr>
                <w:rFonts w:ascii="Times New Roman" w:hAnsi="Times New Roman" w:eastAsia="Times New Roman"/>
                <w:b/>
                <w:sz w:val="20"/>
                <w:szCs w:val="20"/>
                <w:lang w:val="en-us" w:eastAsia="ru-ru"/>
              </w:rPr>
            </w:r>
          </w:p>
        </w:tc>
        <w:tc>
          <w:tcPr>
            <w:tcW w:w="4465" w:type="dxa"/>
            <w:tmTcPr id="1759223788"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sz w:val="20"/>
                <w:szCs w:val="20"/>
                <w:lang w:val="en-us" w:eastAsia="ru-ru"/>
              </w:rPr>
              <w:t>Демидова Юлія Олександрівна</w:t>
            </w:r>
          </w:p>
        </w:tc>
      </w:tr>
      <w:tr>
        <w:trPr>
          <w:cantSplit w:val="0"/>
          <w:trHeight w:val="0" w:hRule="auto"/>
        </w:trPr>
        <w:tc>
          <w:tcPr>
            <w:tcW w:w="2943" w:type="dxa"/>
            <w:tmTcPr id="1759223788"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sz w:val="20"/>
                <w:szCs w:val="20"/>
                <w:lang w:val="en-us" w:eastAsia="ru-ru"/>
              </w:rPr>
            </w:r>
          </w:p>
        </w:tc>
        <w:tc>
          <w:tcPr>
            <w:tcW w:w="2765" w:type="dxa"/>
            <w:vAlign w:val="center"/>
            <w:tmTcPr id="1759223788" protected="0"/>
          </w:tcPr>
          <w:p>
            <w:pPr>
              <w:spacing w:after="0" w:line="240" w:lineRule="auto"/>
              <w:jc w:val="center"/>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color w:val="000000"/>
                <w:sz w:val="16"/>
                <w:szCs w:val="16"/>
                <w:lang w:val="en-us" w:eastAsia="ru-ru"/>
              </w:rPr>
              <w:t>(</w:t>
            </w:r>
            <w:r>
              <w:rPr>
                <w:rFonts w:ascii="Times New Roman" w:hAnsi="Times New Roman" w:eastAsia="Times New Roman"/>
                <w:b/>
                <w:color w:val="000000"/>
                <w:sz w:val="16"/>
                <w:szCs w:val="16"/>
                <w:lang w:eastAsia="ru-ru"/>
              </w:rPr>
              <w:t>підпис</w:t>
            </w:r>
            <w:r>
              <w:rPr>
                <w:rFonts w:ascii="Times New Roman" w:hAnsi="Times New Roman" w:eastAsia="Times New Roman"/>
                <w:b/>
                <w:color w:val="000000"/>
                <w:sz w:val="16"/>
                <w:szCs w:val="16"/>
                <w:lang w:val="en-us" w:eastAsia="ru-ru"/>
              </w:rPr>
              <w:t>)</w:t>
            </w:r>
            <w:r>
              <w:rPr>
                <w:rFonts w:ascii="Times New Roman" w:hAnsi="Times New Roman" w:eastAsia="Times New Roman"/>
                <w:b/>
                <w:sz w:val="20"/>
                <w:szCs w:val="20"/>
                <w:lang w:val="en-us" w:eastAsia="ru-ru"/>
              </w:rPr>
            </w:r>
          </w:p>
        </w:tc>
        <w:tc>
          <w:tcPr>
            <w:tcW w:w="4465" w:type="dxa"/>
            <w:tmTcPr id="1759223788" protected="0"/>
          </w:tcPr>
          <w:p>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b/>
                <w:sz w:val="20"/>
                <w:szCs w:val="20"/>
                <w:lang w:val="en-us" w:eastAsia="ru-ru"/>
              </w:rPr>
            </w:pPr>
            <w:r>
              <w:rPr>
                <w:rFonts w:ascii="Times New Roman" w:hAnsi="Times New Roman" w:eastAsia="Times New Roman"/>
                <w:b/>
                <w:sz w:val="20"/>
                <w:szCs w:val="20"/>
                <w:lang w:val="en-us" w:eastAsia="ru-ru"/>
              </w:rPr>
            </w:r>
          </w:p>
        </w:tc>
      </w:tr>
    </w:tbl>
    <w:p>
      <w:pPr>
        <w:ind w:firstLine="567"/>
        <w:spacing w:after="0" w:line="240" w:lineRule="auto"/>
        <w:widowControl w:val="0"/>
        <w:rPr>
          <w:rFonts w:ascii="Arial Narrow" w:hAnsi="Arial Narrow" w:eastAsia="Times New Roman" w:cs="Arial Narrow"/>
          <w:lang w:eastAsia="ru-ru"/>
        </w:rPr>
      </w:pPr>
      <w:r>
        <w:rPr>
          <w:rFonts w:ascii="Arial Narrow" w:hAnsi="Arial Narrow" w:eastAsia="Times New Roman" w:cs="Arial Narrow"/>
          <w:lang w:eastAsia="ru-ru"/>
        </w:rPr>
      </w:r>
    </w:p>
    <w:p>
      <w:r/>
    </w:p>
    <w:sectPr>
      <w:footnotePr>
        <w:pos w:val="pageBottom"/>
        <w:numFmt w:val="decimal"/>
        <w:numStart w:val="1"/>
        <w:numRestart w:val="continuous"/>
      </w:footnotePr>
      <w:endnotePr>
        <w:pos w:val="docEnd"/>
        <w:numFmt w:val="lowerRoman"/>
        <w:numStart w:val="1"/>
        <w:numRestart w:val="continuous"/>
      </w:endnotePr>
      <w:headerReference w:type="default" r:id="rId38"/>
      <w:footerReference w:type="default" r:id="rId39"/>
      <w:type w:val="nextPage"/>
      <w:pgSz w:h="16838" w:w="11906"/>
      <w:pgMar w:left="1417" w:top="363" w:right="567" w:bottom="363" w:header="708" w:footer="708"/>
      <w:paperSrc w:first="0" w:other="0" a="0" b="0"/>
      <w:pgNumType w:fmt="decimal"/>
      <w:tmGutter w:val="3"/>
      <w:mirrorMargins w:val="0"/>
      <w:tmSection w:h="-2">
        <w:tmHeader w:id="0" w:h="0" edge="708" text="0">
          <w:shd w:val="none"/>
        </w:tmHeader>
        <w:tmFooter w:id="0" w:h="0" edge="708"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Calibri Light">
    <w:panose1 w:val="020F0302020204030204"/>
    <w:charset w:val="cc"/>
    <w:family w:val="swiss"/>
    <w:pitch w:val="default"/>
  </w:font>
  <w:font w:name="HeliosCond">
    <w:panose1 w:val="020B0604020202020204"/>
    <w:charset w:val="00"/>
    <w:family w:val="auto"/>
    <w:pitch w:val="default"/>
  </w:font>
  <w:font w:name="Pragmatica-Bold">
    <w:panose1 w:val="020B0604020202020204"/>
    <w:charset w:val="00"/>
    <w:family w:val="auto"/>
    <w:pitch w:val="default"/>
  </w:font>
  <w:font w:name="Pragmatica-Book">
    <w:panose1 w:val="020B0604020202020204"/>
    <w:charset w:val="00"/>
    <w:family w:val="auto"/>
    <w:pitch w:val="default"/>
  </w:font>
  <w:font w:name="Arial Narrow">
    <w:panose1 w:val="020B0606020202030204"/>
    <w:charset w:val="cc"/>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66" behindDoc="0" locked="0" layoutInCell="0" hidden="0" allowOverlap="1">
              <wp:simplePos x="0" y="0"/>
              <wp:positionH relativeFrom="margin">
                <wp:align>right</wp:align>
              </wp:positionH>
              <wp:positionV relativeFrom="paragraph">
                <wp:posOffset>635</wp:posOffset>
              </wp:positionV>
              <wp:extent cx="114300" cy="170815"/>
              <wp:effectExtent l="0" t="0" r="0" b="0"/>
              <wp:wrapSquare wrapText="bothSides"/>
              <wp:docPr id="1026" name="Текстовое поле 32"/>
              <wp:cNvGraphicFramePr/>
              <a:graphic xmlns:a="http://schemas.openxmlformats.org/drawingml/2006/main">
                <a:graphicData uri="http://schemas.microsoft.com/office/word/2010/wordprocessingShape">
                  <wps:wsp>
                    <wps:cNvSpPr txBox="1">
                      <a:extLst>
                        <a:ext uri="smNativeData">
                          <sm:smNativeData xmlns:sm="smNativeData" val="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BJgAAHj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C0AAAADQEAAAAAAACXKwAA9T0AACgAAAAIAAAAAgAAAAIAAAAwAAAAFAAAAAAAAAAAAP//AAABAAAA//8AAAEA"/>
                        </a:ext>
                      </a:extLst>
                    </wps:cNvSpPr>
                    <wps:spPr>
                      <a:xfrm>
                        <a:off x="0" y="0"/>
                        <a:ext cx="11430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1</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32" o:spid="_x0000_s3073" type="#_x0000_t202" style="position:absolute;mso-position-horizontal:right;margin-top:0.05pt;mso-position-horizontal-relative:margin;width:9.00pt;height:13.45pt;z-index:251659266;mso-wrap-distance-left:0.00pt;mso-wrap-distance-top:0.00pt;mso-wrap-distance-right:0.00pt;mso-wrap-distance-bottom:0.00pt;mso-wrap-style:none" stroked="f" filled="f" v:ext="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BJgAAHj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C0AAAADQEAAAAAAACXKwAA9T0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1</w:t>
                      <w:fldChar w:fldCharType="end"/>
                    </w:r>
                    <w:r>
                      <w:rPr>
                        <w:rStyle w:val="char18"/>
                      </w:rPr>
                    </w:r>
                  </w:p>
                </w:txbxContent>
              </v:textbox>
            </v:shape>
          </w:pict>
        </mc:Fallback>
      </mc:AlternateContent>
    </w:r>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84"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44" name="Текстовое поле 14"/>
              <wp:cNvGraphicFramePr/>
              <a:graphic xmlns:a="http://schemas.openxmlformats.org/drawingml/2006/main">
                <a:graphicData uri="http://schemas.microsoft.com/office/word/2010/wordprocessingShape">
                  <wps:wsp>
                    <wps:cNvSpPr txBox="1">
                      <a:extLst>
                        <a:ext uri="smNativeData">
                          <sm:smNativeData xmlns:sm="smNativeData" val="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CQBrKwAA9j0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49</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14" o:spid="_x0000_s21505" type="#_x0000_t202" style="position:absolute;mso-position-horizontal:right;margin-top:0.05pt;mso-position-horizontal-relative:margin;width:11.20pt;height:13.45pt;z-index:251659284;mso-wrap-distance-left:0.00pt;mso-wrap-distance-top:0.00pt;mso-wrap-distance-right:0.00pt;mso-wrap-distance-bottom:0.00pt;mso-wrap-style:none" stroked="f" filled="f" v:ext="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CQBrKwAA9j0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49</w:t>
                      <w:fldChar w:fldCharType="end"/>
                    </w:r>
                    <w:r>
                      <w:rPr>
                        <w:rStyle w:val="char18"/>
                      </w:rPr>
                    </w:r>
                  </w:p>
                </w:txbxContent>
              </v:textbox>
            </v:shape>
          </w:pict>
        </mc:Fallback>
      </mc:AlternateContent>
    </w:r>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86"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46" name="Текстовое поле 12"/>
              <wp:cNvGraphicFramePr/>
              <a:graphic xmlns:a="http://schemas.openxmlformats.org/drawingml/2006/main">
                <a:graphicData uri="http://schemas.microsoft.com/office/word/2010/wordprocessingShape">
                  <wps:wsp>
                    <wps:cNvSpPr txBox="1">
                      <a:extLst>
                        <a:ext uri="smNativeData">
                          <sm:smNativeData xmlns:sm="smNativeData" val="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CgB7PwAAsSo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50</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12" o:spid="_x0000_s23553" type="#_x0000_t202" style="position:absolute;mso-position-horizontal:right;margin-top:0.05pt;mso-position-horizontal-relative:margin;width:11.20pt;height:13.45pt;z-index:251659286;mso-wrap-distance-left:0.00pt;mso-wrap-distance-top:0.00pt;mso-wrap-distance-right:0.00pt;mso-wrap-distance-bottom:0.00pt;mso-wrap-style:none" stroked="f" filled="f" v:ext="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CgB7PwAAsSo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50</w:t>
                      <w:fldChar w:fldCharType="end"/>
                    </w:r>
                    <w:r>
                      <w:rPr>
                        <w:rStyle w:val="char18"/>
                      </w:rPr>
                    </w:r>
                  </w:p>
                </w:txbxContent>
              </v:textbox>
            </v:shape>
          </w:pict>
        </mc:Fallback>
      </mc:AlternateContent>
    </w:r>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88"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48" name="Текстовое поле 10"/>
              <wp:cNvGraphicFramePr/>
              <a:graphic xmlns:a="http://schemas.openxmlformats.org/drawingml/2006/main">
                <a:graphicData uri="http://schemas.microsoft.com/office/word/2010/wordprocessingShape">
                  <wps:wsp>
                    <wps:cNvSpPr txBox="1">
                      <a:extLst>
                        <a:ext uri="smNativeData">
                          <sm:smNativeData xmlns:sm="smNativeData" val="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CwBrKwAA9j0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53</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10" o:spid="_x0000_s25601" type="#_x0000_t202" style="position:absolute;mso-position-horizontal:right;margin-top:0.05pt;mso-position-horizontal-relative:margin;width:11.20pt;height:13.45pt;z-index:251659288;mso-wrap-distance-left:0.00pt;mso-wrap-distance-top:0.00pt;mso-wrap-distance-right:0.00pt;mso-wrap-distance-bottom:0.00pt;mso-wrap-style:none" stroked="f" filled="f" v:ext="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CwBrKwAA9j0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53</w:t>
                      <w:fldChar w:fldCharType="end"/>
                    </w:r>
                    <w:r>
                      <w:rPr>
                        <w:rStyle w:val="char18"/>
                      </w:rPr>
                    </w:r>
                  </w:p>
                </w:txbxContent>
              </v:textbox>
            </v:shape>
          </w:pict>
        </mc:Fallback>
      </mc:AlternateContent>
    </w:r>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90"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50" name="Текстовое поле 8"/>
              <wp:cNvGraphicFramePr/>
              <a:graphic xmlns:a="http://schemas.openxmlformats.org/drawingml/2006/main">
                <a:graphicData uri="http://schemas.microsoft.com/office/word/2010/wordprocessingShape">
                  <wps:wsp>
                    <wps:cNvSpPr txBox="1">
                      <a:extLst>
                        <a:ext uri="smNativeData">
                          <sm:smNativeData xmlns:sm="smNativeData" val="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DAB7PwAAsSo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55</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8" o:spid="_x0000_s27649" type="#_x0000_t202" style="position:absolute;mso-position-horizontal:right;margin-top:0.05pt;mso-position-horizontal-relative:margin;width:11.20pt;height:13.45pt;z-index:251659290;mso-wrap-distance-left:0.00pt;mso-wrap-distance-top:0.00pt;mso-wrap-distance-right:0.00pt;mso-wrap-distance-bottom:0.00pt;mso-wrap-style:none" stroked="f" filled="f" v:ext="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DAB7PwAAsSo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55</w:t>
                      <w:fldChar w:fldCharType="end"/>
                    </w:r>
                    <w:r>
                      <w:rPr>
                        <w:rStyle w:val="char18"/>
                      </w:rPr>
                    </w:r>
                  </w:p>
                </w:txbxContent>
              </v:textbox>
            </v:shape>
          </w:pict>
        </mc:Fallback>
      </mc:AlternateContent>
    </w:r>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92"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52" name="Текстовое поле 6"/>
              <wp:cNvGraphicFramePr/>
              <a:graphic xmlns:a="http://schemas.openxmlformats.org/drawingml/2006/main">
                <a:graphicData uri="http://schemas.microsoft.com/office/word/2010/wordprocessingShape">
                  <wps:wsp>
                    <wps:cNvSpPr txBox="1">
                      <a:extLst>
                        <a:ext uri="smNativeData">
                          <sm:smNativeData xmlns:sm="smNativeData" val="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DQBrKwAA9T0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58</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6" o:spid="_x0000_s29697" type="#_x0000_t202" style="position:absolute;mso-position-horizontal:right;margin-top:0.05pt;mso-position-horizontal-relative:margin;width:11.20pt;height:13.45pt;z-index:251659292;mso-wrap-distance-left:0.00pt;mso-wrap-distance-top:0.00pt;mso-wrap-distance-right:0.00pt;mso-wrap-distance-bottom:0.00pt;mso-wrap-style:none" stroked="f" filled="f" v:ext="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DQBrKwAA9T0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58</w:t>
                      <w:fldChar w:fldCharType="end"/>
                    </w:r>
                    <w:r>
                      <w:rPr>
                        <w:rStyle w:val="char18"/>
                      </w:rPr>
                    </w:r>
                  </w:p>
                </w:txbxContent>
              </v:textbox>
            </v:shape>
          </w:pict>
        </mc:Fallback>
      </mc:AlternateContent>
    </w:r>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94"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54" name="Текстовое поле 4"/>
              <wp:cNvGraphicFramePr/>
              <a:graphic xmlns:a="http://schemas.openxmlformats.org/drawingml/2006/main">
                <a:graphicData uri="http://schemas.microsoft.com/office/word/2010/wordprocessingShape">
                  <wps:wsp>
                    <wps:cNvSpPr txBox="1">
                      <a:extLst>
                        <a:ext uri="smNativeData">
                          <sm:smNativeData xmlns:sm="smNativeData" val="SMDATA_16_7J/baB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DgB7PwAAsSo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61</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4" o:spid="_x0000_s31745" type="#_x0000_t202" style="position:absolute;mso-position-horizontal:right;margin-top:0.05pt;mso-position-horizontal-relative:margin;width:11.20pt;height:13.45pt;z-index:251659294;mso-wrap-distance-left:0.00pt;mso-wrap-distance-top:0.00pt;mso-wrap-distance-right:0.00pt;mso-wrap-distance-bottom:0.00pt;mso-wrap-style:none" stroked="f" filled="f" v:ext="SMDATA_16_7J/baB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DgB7PwAAsSo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61</w:t>
                      <w:fldChar w:fldCharType="end"/>
                    </w:r>
                    <w:r>
                      <w:rPr>
                        <w:rStyle w:val="char18"/>
                      </w:rPr>
                    </w:r>
                  </w:p>
                </w:txbxContent>
              </v:textbox>
            </v:shape>
          </w:pict>
        </mc:Fallback>
      </mc:AlternateContent>
    </w:r>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96"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56" name="Текстовое поле 2"/>
              <wp:cNvGraphicFramePr/>
              <a:graphic xmlns:a="http://schemas.openxmlformats.org/drawingml/2006/main">
                <a:graphicData uri="http://schemas.microsoft.com/office/word/2010/wordprocessingShape">
                  <wps:wsp>
                    <wps:cNvSpPr txBox="1">
                      <a:extLst>
                        <a:ext uri="smNativeData">
                          <sm:smNativeData xmlns:sm="smNativeData" val="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DwBrKwAA9j0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64</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2" o:spid="_x0000_s33793" type="#_x0000_t202" style="position:absolute;mso-position-horizontal:right;margin-top:0.05pt;mso-position-horizontal-relative:margin;width:11.20pt;height:13.45pt;z-index:251659296;mso-wrap-distance-left:0.00pt;mso-wrap-distance-top:0.00pt;mso-wrap-distance-right:0.00pt;mso-wrap-distance-bottom:0.00pt;mso-wrap-style:none" stroked="f" filled="f" v:ext="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DwBrKwAA9j0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64</w:t>
                      <w:fldChar w:fldCharType="end"/>
                    </w:r>
                    <w:r>
                      <w:rPr>
                        <w:rStyle w:val="char18"/>
                      </w:rPr>
                    </w:r>
                  </w:p>
                </w:txbxContent>
              </v:textbox>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68"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28" name="Текстовое поле 30"/>
              <wp:cNvGraphicFramePr/>
              <a:graphic xmlns:a="http://schemas.openxmlformats.org/drawingml/2006/main">
                <a:graphicData uri="http://schemas.microsoft.com/office/word/2010/wordprocessingShape">
                  <wps:wsp>
                    <wps:cNvSpPr txBox="1">
                      <a:extLst>
                        <a:ext uri="smNativeData">
                          <sm:smNativeData xmlns:sm="smNativeData" val="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AQBrKwAA9T0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10</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30" o:spid="_x0000_s5121" type="#_x0000_t202" style="position:absolute;mso-position-horizontal:right;margin-top:0.05pt;mso-position-horizontal-relative:margin;width:11.20pt;height:13.45pt;z-index:251659268;mso-wrap-distance-left:0.00pt;mso-wrap-distance-top:0.00pt;mso-wrap-distance-right:0.00pt;mso-wrap-distance-bottom:0.00pt;mso-wrap-style:none" stroked="f" filled="f" v:ext="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AQBrKwAA9T0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10</w:t>
                      <w:fldChar w:fldCharType="end"/>
                    </w:r>
                    <w:r>
                      <w:rPr>
                        <w:rStyle w:val="char18"/>
                      </w:rPr>
                    </w:r>
                  </w:p>
                </w:txbxContent>
              </v:textbox>
            </v:shape>
          </w:pict>
        </mc:Fallback>
      </mc:AlternateContent>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70"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30" name="Текстовое поле 28"/>
              <wp:cNvGraphicFramePr/>
              <a:graphic xmlns:a="http://schemas.openxmlformats.org/drawingml/2006/main">
                <a:graphicData uri="http://schemas.microsoft.com/office/word/2010/wordprocessingShape">
                  <wps:wsp>
                    <wps:cNvSpPr txBox="1">
                      <a:extLst>
                        <a:ext uri="smNativeData">
                          <sm:smNativeData xmlns:sm="smNativeData" val="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AgB7PwAAsSo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14</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28" o:spid="_x0000_s7169" type="#_x0000_t202" style="position:absolute;mso-position-horizontal:right;margin-top:0.05pt;mso-position-horizontal-relative:margin;width:11.20pt;height:13.45pt;z-index:251659270;mso-wrap-distance-left:0.00pt;mso-wrap-distance-top:0.00pt;mso-wrap-distance-right:0.00pt;mso-wrap-distance-bottom:0.00pt;mso-wrap-style:none" stroked="f" filled="f" v:ext="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AgB7PwAAsSo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14</w:t>
                      <w:fldChar w:fldCharType="end"/>
                    </w:r>
                    <w:r>
                      <w:rPr>
                        <w:rStyle w:val="char18"/>
                      </w:rPr>
                    </w:r>
                  </w:p>
                </w:txbxContent>
              </v:textbox>
            </v:shape>
          </w:pict>
        </mc:Fallback>
      </mc:AlternateContent>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72"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32" name="Текстовое поле 26"/>
              <wp:cNvGraphicFramePr/>
              <a:graphic xmlns:a="http://schemas.openxmlformats.org/drawingml/2006/main">
                <a:graphicData uri="http://schemas.microsoft.com/office/word/2010/wordprocessingShape">
                  <wps:wsp>
                    <wps:cNvSpPr txBox="1">
                      <a:extLst>
                        <a:ext uri="smNativeData">
                          <sm:smNativeData xmlns:sm="smNativeData" val="SMDATA_16_7J/baB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AwBrKwAA9T0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20</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26" o:spid="_x0000_s9217" type="#_x0000_t202" style="position:absolute;mso-position-horizontal:right;margin-top:0.05pt;mso-position-horizontal-relative:margin;width:11.20pt;height:13.45pt;z-index:251659272;mso-wrap-distance-left:0.00pt;mso-wrap-distance-top:0.00pt;mso-wrap-distance-right:0.00pt;mso-wrap-distance-bottom:0.00pt;mso-wrap-style:none" stroked="f" filled="f" v:ext="SMDATA_16_7J/baB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AwBrKwAA9T0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20</w:t>
                      <w:fldChar w:fldCharType="end"/>
                    </w:r>
                    <w:r>
                      <w:rPr>
                        <w:rStyle w:val="char18"/>
                      </w:rPr>
                    </w:r>
                  </w:p>
                </w:txbxContent>
              </v:textbox>
            </v:shape>
          </w:pict>
        </mc:Fallback>
      </mc:AlternateContent>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74"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34" name="Текстовое поле 24"/>
              <wp:cNvGraphicFramePr/>
              <a:graphic xmlns:a="http://schemas.openxmlformats.org/drawingml/2006/main">
                <a:graphicData uri="http://schemas.microsoft.com/office/word/2010/wordprocessingShape">
                  <wps:wsp>
                    <wps:cNvSpPr txBox="1">
                      <a:extLst>
                        <a:ext uri="smNativeData">
                          <sm:smNativeData xmlns:sm="smNativeData" val="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BAB7PwAAsSo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21</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24" o:spid="_x0000_s11265" type="#_x0000_t202" style="position:absolute;mso-position-horizontal:right;margin-top:0.05pt;mso-position-horizontal-relative:margin;width:11.20pt;height:13.45pt;z-index:251659274;mso-wrap-distance-left:0.00pt;mso-wrap-distance-top:0.00pt;mso-wrap-distance-right:0.00pt;mso-wrap-distance-bottom:0.00pt;mso-wrap-style:none" stroked="f" filled="f" v:ext="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BAB7PwAAsSo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21</w:t>
                      <w:fldChar w:fldCharType="end"/>
                    </w:r>
                    <w:r>
                      <w:rPr>
                        <w:rStyle w:val="char18"/>
                      </w:rPr>
                    </w:r>
                  </w:p>
                </w:txbxContent>
              </v:textbox>
            </v:shape>
          </w:pict>
        </mc:Fallback>
      </mc:AlternateContent>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76"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36" name="Текстовое поле 22"/>
              <wp:cNvGraphicFramePr/>
              <a:graphic xmlns:a="http://schemas.openxmlformats.org/drawingml/2006/main">
                <a:graphicData uri="http://schemas.microsoft.com/office/word/2010/wordprocessingShape">
                  <wps:wsp>
                    <wps:cNvSpPr txBox="1">
                      <a:extLst>
                        <a:ext uri="smNativeData">
                          <sm:smNativeData xmlns:sm="smNativeData" val="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BQBrKwAA9T0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24</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22" o:spid="_x0000_s13313" type="#_x0000_t202" style="position:absolute;mso-position-horizontal:right;margin-top:0.05pt;mso-position-horizontal-relative:margin;width:11.20pt;height:13.45pt;z-index:251659276;mso-wrap-distance-left:0.00pt;mso-wrap-distance-top:0.00pt;mso-wrap-distance-right:0.00pt;mso-wrap-distance-bottom:0.00pt;mso-wrap-style:none" stroked="f" filled="f" v:ext="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BQBrKwAA9T0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24</w:t>
                      <w:fldChar w:fldCharType="end"/>
                    </w:r>
                    <w:r>
                      <w:rPr>
                        <w:rStyle w:val="char18"/>
                      </w:rPr>
                    </w:r>
                  </w:p>
                </w:txbxContent>
              </v:textbox>
            </v:shape>
          </w:pict>
        </mc:Fallback>
      </mc:AlternateContent>
    </w: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78"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38" name="Текстовое поле 20"/>
              <wp:cNvGraphicFramePr/>
              <a:graphic xmlns:a="http://schemas.openxmlformats.org/drawingml/2006/main">
                <a:graphicData uri="http://schemas.microsoft.com/office/word/2010/wordprocessingShape">
                  <wps:wsp>
                    <wps:cNvSpPr txBox="1">
                      <a:extLst>
                        <a:ext uri="smNativeData">
                          <sm:smNativeData xmlns:sm="smNativeData" val="SMDATA_16_7J/baB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BgB7PwAAsSo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30</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20" o:spid="_x0000_s15361" type="#_x0000_t202" style="position:absolute;mso-position-horizontal:right;margin-top:0.05pt;mso-position-horizontal-relative:margin;width:11.20pt;height:13.45pt;z-index:251659278;mso-wrap-distance-left:0.00pt;mso-wrap-distance-top:0.00pt;mso-wrap-distance-right:0.00pt;mso-wrap-distance-bottom:0.00pt;mso-wrap-style:none" stroked="f" filled="f" v:ext="SMDATA_16_7J/baB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BgB7PwAAsSo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30</w:t>
                      <w:fldChar w:fldCharType="end"/>
                    </w:r>
                    <w:r>
                      <w:rPr>
                        <w:rStyle w:val="char18"/>
                      </w:rPr>
                    </w:r>
                  </w:p>
                </w:txbxContent>
              </v:textbox>
            </v:shape>
          </w:pict>
        </mc:Fallback>
      </mc:AlternateContent>
    </w: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80"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40" name="Текстовое поле 18"/>
              <wp:cNvGraphicFramePr/>
              <a:graphic xmlns:a="http://schemas.openxmlformats.org/drawingml/2006/main">
                <a:graphicData uri="http://schemas.microsoft.com/office/word/2010/wordprocessingShape">
                  <wps:wsp>
                    <wps:cNvSpPr txBox="1">
                      <a:extLst>
                        <a:ext uri="smNativeData">
                          <sm:smNativeData xmlns:sm="smNativeData" val="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BwBrKwAA9T0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45</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18" o:spid="_x0000_s17409" type="#_x0000_t202" style="position:absolute;mso-position-horizontal:right;margin-top:0.05pt;mso-position-horizontal-relative:margin;width:11.20pt;height:13.45pt;z-index:251659280;mso-wrap-distance-left:0.00pt;mso-wrap-distance-top:0.00pt;mso-wrap-distance-right:0.00pt;mso-wrap-distance-bottom:0.00pt;mso-wrap-style:none" stroked="f" filled="f" v:ext="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CJgAA8D4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BwBrKwAA9T0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45</w:t>
                      <w:fldChar w:fldCharType="end"/>
                    </w:r>
                    <w:r>
                      <w:rPr>
                        <w:rStyle w:val="char18"/>
                      </w:rPr>
                    </w:r>
                  </w:p>
                </w:txbxContent>
              </v:textbox>
            </v:shape>
          </w:pict>
        </mc:Fallback>
      </mc:AlternateContent>
    </w:r>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6"/>
      <w:ind w:right="360"/>
    </w:pPr>
    <w:r>
      <w:rPr>
        <w:noProof/>
      </w:rPr>
      <mc:AlternateContent>
        <mc:Choice Requires="wps">
          <w:drawing>
            <wp:anchor distT="0" distB="0" distL="0" distR="0" simplePos="0" relativeHeight="251659282" behindDoc="0" locked="0" layoutInCell="0" hidden="0" allowOverlap="1">
              <wp:simplePos x="0" y="0"/>
              <wp:positionH relativeFrom="margin">
                <wp:align>right</wp:align>
              </wp:positionH>
              <wp:positionV relativeFrom="paragraph">
                <wp:posOffset>635</wp:posOffset>
              </wp:positionV>
              <wp:extent cx="142240" cy="170815"/>
              <wp:effectExtent l="0" t="0" r="0" b="0"/>
              <wp:wrapSquare wrapText="bothSides"/>
              <wp:docPr id="1042" name="Текстовое поле 16"/>
              <wp:cNvGraphicFramePr/>
              <a:graphic xmlns:a="http://schemas.openxmlformats.org/drawingml/2006/main">
                <a:graphicData uri="http://schemas.microsoft.com/office/word/2010/wordprocessingShape">
                  <wps:wsp>
                    <wps:cNvSpPr txBox="1">
                      <a:extLst>
                        <a:ext uri="smNativeData">
                          <sm:smNativeData xmlns:sm="smNativeData" val="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CAB7PwAAsSoAACgAAAAIAAAAAgAAAAIAAAAwAAAAFAAAAAAAAAAAAP//AAABAAAA//8AAAEA"/>
                        </a:ext>
                      </a:extLst>
                    </wps:cNvSpPr>
                    <wps:spPr>
                      <a:xfrm>
                        <a:off x="0" y="0"/>
                        <a:ext cx="142240" cy="170815"/>
                      </a:xfrm>
                      <a:prstGeom prst="rect">
                        <a:avLst/>
                      </a:prstGeom>
                      <a:noFill/>
                      <a:ln w="12700">
                        <a:noFill/>
                      </a:ln>
                    </wps:spPr>
                    <wps:txbx>
                      <w:txbxContent>
                        <w:p>
                          <w:pPr>
                            <w:pStyle w:val="para16"/>
                            <w:rPr>
                              <w:rStyle w:val="char18"/>
                            </w:rPr>
                          </w:pPr>
                          <w:r>
                            <w:rPr>
                              <w:rStyle w:val="char18"/>
                            </w:rPr>
                          </w:r>
                          <w:r>
                            <w:rPr>
                              <w:rStyle w:val="char18"/>
                            </w:rPr>
                            <w:fldChar w:fldCharType="begin"/>
                            <w:instrText xml:space="preserve"> PAGE </w:instrText>
                            <w:fldChar w:fldCharType="separate"/>
                            <w:t>46</w:t>
                            <w:fldChar w:fldCharType="end"/>
                          </w:r>
                          <w:r>
                            <w:rPr>
                              <w:rStyle w:val="char18"/>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16" o:spid="_x0000_s19457" type="#_x0000_t202" style="position:absolute;mso-position-horizontal:right;margin-top:0.05pt;mso-position-horizontal-relative:margin;width:11.20pt;height:13.45pt;z-index:251659282;mso-wrap-distance-left:0.00pt;mso-wrap-distance-top:0.00pt;mso-wrap-distance-right:0.00pt;mso-wrap-distance-bottom:0.00pt;mso-wrap-style:none" stroked="f" filled="f" v:ext="SMDATA_16_7J/b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wPgAAFC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DAAAAAQAAAAAAAAABAAAAAgAAAAEAAADgAAAADQEAAAAACAB7PwAAsSoAACgAAAAIAAAAAgAAAAIAAAAwAAAAFAAAAAAAAAAAAP//AAABAAAA//8AAAEA" o:insetmode="custom">
              <w10:wrap type="square" anchorx="margin" anchory="text"/>
              <v:textbox style="mso-fit-shape-to-text:t" inset="0.0pt,0.0pt,0.0pt,0.0pt">
                <w:txbxContent>
                  <w:p>
                    <w:pPr>
                      <w:pStyle w:val="para16"/>
                      <w:rPr>
                        <w:rStyle w:val="char18"/>
                      </w:rPr>
                    </w:pPr>
                    <w:r>
                      <w:rPr>
                        <w:rStyle w:val="char18"/>
                      </w:rPr>
                    </w:r>
                    <w:r>
                      <w:rPr>
                        <w:rStyle w:val="char18"/>
                      </w:rPr>
                      <w:fldChar w:fldCharType="begin"/>
                      <w:instrText xml:space="preserve"> PAGE </w:instrText>
                      <w:fldChar w:fldCharType="separate"/>
                      <w:t>46</w:t>
                      <w:fldChar w:fldCharType="end"/>
                    </w:r>
                    <w:r>
                      <w:rPr>
                        <w:rStyle w:val="char18"/>
                      </w:rPr>
                    </w:r>
                  </w:p>
                </w:txbxContent>
              </v:textbox>
            </v:shape>
          </w:pict>
        </mc:Fallback>
      </mc:AlternateContent>
    </w: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5"/>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33794"/>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8"/>
    <w:tmLastPosCaret>
      <w:tmLastPosPgfIdx w:val="0"/>
      <w:tmLastPosIdx w:val="2"/>
    </w:tmLastPosCaret>
    <w:tmLastPosAnchor>
      <w:tmLastPosPgfIdx w:val="0"/>
      <w:tmLastPosIdx w:val="0"/>
    </w:tmLastPosAnchor>
    <w:tmLastPosTblRect w:left="0" w:top="0" w:right="0" w:bottom="0"/>
  </w:tmLastPos>
  <w:tmAppRevision w:date="1759223788" w:val="1024" w:fileVer="342"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kern w:val="1"/>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360" w:after="80"/>
      <w:keepNext/>
      <w:outlineLvl w:val="0"/>
      <w:keepLines/>
    </w:pPr>
    <w:rPr>
      <w:rFonts w:ascii="Calibri Light" w:hAnsi="Calibri Light" w:eastAsia="Calibri Light"/>
      <w:color w:val="2f5496"/>
      <w:sz w:val="40"/>
      <w:szCs w:val="40"/>
    </w:rPr>
  </w:style>
  <w:style w:type="paragraph" w:styleId="para2">
    <w:name w:val="heading 2"/>
    <w:qFormat/>
    <w:basedOn w:val="para0"/>
    <w:next w:val="para0"/>
    <w:pPr>
      <w:spacing w:before="160" w:after="80"/>
      <w:keepNext/>
      <w:outlineLvl w:val="1"/>
      <w:keepLines/>
    </w:pPr>
    <w:rPr>
      <w:rFonts w:ascii="Calibri Light" w:hAnsi="Calibri Light" w:eastAsia="Calibri Light"/>
      <w:color w:val="2f5496"/>
      <w:sz w:val="32"/>
      <w:szCs w:val="32"/>
    </w:rPr>
  </w:style>
  <w:style w:type="paragraph" w:styleId="para3">
    <w:name w:val="heading 3"/>
    <w:qFormat/>
    <w:basedOn w:val="para0"/>
    <w:next w:val="para0"/>
    <w:pPr>
      <w:spacing w:before="160" w:after="80"/>
      <w:keepNext/>
      <w:outlineLvl w:val="2"/>
      <w:keepLines/>
    </w:pPr>
    <w:rPr>
      <w:rFonts w:eastAsia="Calibri Light"/>
      <w:color w:val="2f5496"/>
      <w:sz w:val="28"/>
      <w:szCs w:val="28"/>
    </w:rPr>
  </w:style>
  <w:style w:type="paragraph" w:styleId="para4">
    <w:name w:val="heading 4"/>
    <w:qFormat/>
    <w:basedOn w:val="para0"/>
    <w:next w:val="para0"/>
    <w:pPr>
      <w:spacing w:before="80" w:after="40"/>
      <w:keepNext/>
      <w:outlineLvl w:val="3"/>
      <w:keepLines/>
    </w:pPr>
    <w:rPr>
      <w:rFonts w:eastAsia="Calibri Light"/>
      <w:i/>
      <w:iCs/>
      <w:color w:val="2f5496"/>
    </w:rPr>
  </w:style>
  <w:style w:type="paragraph" w:styleId="para5">
    <w:name w:val="heading 5"/>
    <w:qFormat/>
    <w:basedOn w:val="para0"/>
    <w:next w:val="para0"/>
    <w:pPr>
      <w:spacing w:before="80" w:after="40"/>
      <w:keepNext/>
      <w:outlineLvl w:val="4"/>
      <w:keepLines/>
    </w:pPr>
    <w:rPr>
      <w:rFonts w:eastAsia="Calibri Light"/>
      <w:color w:val="2f5496"/>
    </w:rPr>
  </w:style>
  <w:style w:type="paragraph" w:styleId="para6">
    <w:name w:val="heading 6"/>
    <w:qFormat/>
    <w:basedOn w:val="para0"/>
    <w:next w:val="para0"/>
    <w:pPr>
      <w:spacing w:before="40" w:after="0"/>
      <w:keepNext/>
      <w:outlineLvl w:val="5"/>
      <w:keepLines/>
    </w:pPr>
    <w:rPr>
      <w:rFonts w:eastAsia="Calibri Light"/>
      <w:i/>
      <w:iCs/>
      <w:color w:val="595959"/>
    </w:rPr>
  </w:style>
  <w:style w:type="paragraph" w:styleId="para7">
    <w:name w:val="heading 7"/>
    <w:qFormat/>
    <w:basedOn w:val="para0"/>
    <w:next w:val="para0"/>
    <w:pPr>
      <w:spacing w:before="40" w:after="0"/>
      <w:keepNext/>
      <w:outlineLvl w:val="6"/>
      <w:keepLines/>
    </w:pPr>
    <w:rPr>
      <w:rFonts w:eastAsia="Calibri Light"/>
      <w:color w:val="595959"/>
    </w:rPr>
  </w:style>
  <w:style w:type="paragraph" w:styleId="para8">
    <w:name w:val="heading 8"/>
    <w:qFormat/>
    <w:basedOn w:val="para0"/>
    <w:next w:val="para0"/>
    <w:pPr>
      <w:spacing w:after="0"/>
      <w:keepNext/>
      <w:outlineLvl w:val="7"/>
      <w:keepLines/>
    </w:pPr>
    <w:rPr>
      <w:rFonts w:eastAsia="Calibri Light"/>
      <w:i/>
      <w:iCs/>
      <w:color w:val="272727"/>
    </w:rPr>
  </w:style>
  <w:style w:type="paragraph" w:styleId="para9">
    <w:name w:val="heading 9"/>
    <w:qFormat/>
    <w:basedOn w:val="para0"/>
    <w:next w:val="para0"/>
    <w:pPr>
      <w:spacing w:after="0"/>
      <w:keepNext/>
      <w:outlineLvl w:val="8"/>
      <w:keepLines/>
    </w:pPr>
    <w:rPr>
      <w:rFonts w:eastAsia="Calibri Light"/>
      <w:color w:val="272727"/>
    </w:rPr>
  </w:style>
  <w:style w:type="paragraph" w:styleId="para10">
    <w:name w:val="Title"/>
    <w:qFormat/>
    <w:basedOn w:val="para0"/>
    <w:next w:val="para0"/>
    <w:pPr>
      <w:spacing w:after="80" w:line="240" w:lineRule="auto"/>
      <w:contextualSpacing/>
    </w:pPr>
    <w:rPr>
      <w:rFonts w:ascii="Calibri Light" w:hAnsi="Calibri Light" w:eastAsia="Calibri Light"/>
      <w:spacing w:val="-9"/>
      <w:sz w:val="56"/>
      <w:szCs w:val="56"/>
    </w:rPr>
  </w:style>
  <w:style w:type="paragraph" w:styleId="para11">
    <w:name w:val="Subtitle"/>
    <w:qFormat/>
    <w:basedOn w:val="para0"/>
    <w:next w:val="para0"/>
    <w:rPr>
      <w:rFonts w:eastAsia="Calibri Light"/>
      <w:color w:val="595959"/>
      <w:spacing w:val="15"/>
      <w:sz w:val="28"/>
      <w:szCs w:val="28"/>
    </w:rPr>
  </w:style>
  <w:style w:type="paragraph" w:styleId="para12">
    <w:name w:val="Quote"/>
    <w:qFormat/>
    <w:basedOn w:val="para0"/>
    <w:next w:val="para0"/>
    <w:pPr>
      <w:spacing w:before="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2F5496" tmln="10, 20, 20, 0, 200"/>
        <w:left w:val="nil" w:sz="0" w:space="3" w:color="000000" tmln="20, 20, 20, 0, 60"/>
        <w:bottom w:val="single" w:sz="4" w:space="10" w:color="2F5496" tmln="10, 20, 20, 0, 200"/>
        <w:right w:val="nil" w:sz="0" w:space="3" w:color="000000" tmln="20, 20, 20, 0, 60"/>
        <w:between w:val="nil" w:sz="0" w:space="0" w:color="000000" tmln="20, 20, 20, 0, 0"/>
      </w:pBdr>
      <w:shd w:val="none"/>
    </w:pPr>
    <w:rPr>
      <w:i/>
      <w:iCs/>
      <w:color w:val="2f5496"/>
    </w:rPr>
  </w:style>
  <w:style w:type="paragraph" w:styleId="para15">
    <w:name w:val="Header"/>
    <w:qFormat/>
    <w:basedOn w:val="para0"/>
    <w:pPr>
      <w:spacing w:after="0" w:line="240" w:lineRule="auto"/>
      <w:tabs defTabSz="708">
        <w:tab w:val="center" w:pos="4677" w:leader="none"/>
        <w:tab w:val="right" w:pos="9355" w:leader="none"/>
      </w:tabs>
    </w:pPr>
  </w:style>
  <w:style w:type="paragraph" w:styleId="para16">
    <w:name w:val="Footer"/>
    <w:qFormat/>
    <w:basedOn w:val="para0"/>
    <w:pPr>
      <w:spacing w:after="0" w:line="240" w:lineRule="auto"/>
      <w:tabs defTabSz="708">
        <w:tab w:val="center" w:pos="4677" w:leader="none"/>
        <w:tab w:val="right" w:pos="9355" w:leader="none"/>
      </w:tabs>
    </w:pPr>
  </w:style>
  <w:style w:type="paragraph" w:styleId="para17">
    <w:name w:val="toc 1"/>
    <w:qFormat/>
    <w:basedOn w:val="para0"/>
    <w:next w:val="para0"/>
    <w:pPr>
      <w:spacing w:after="100"/>
    </w:pPr>
  </w:style>
  <w:style w:type="character" w:styleId="char0" w:default="1">
    <w:name w:val="Default Paragraph Font"/>
  </w:style>
  <w:style w:type="character" w:styleId="char1" w:customStyle="1">
    <w:name w:val="Заголовок 1 Знак"/>
    <w:basedOn w:val="char0"/>
    <w:rPr>
      <w:rFonts w:ascii="Calibri Light" w:hAnsi="Calibri Light" w:eastAsia="Calibri Light"/>
      <w:color w:val="2f5496"/>
      <w:sz w:val="40"/>
      <w:szCs w:val="40"/>
    </w:rPr>
  </w:style>
  <w:style w:type="character" w:styleId="char2" w:customStyle="1">
    <w:name w:val="Заголовок 2 Знак"/>
    <w:basedOn w:val="char0"/>
    <w:rPr>
      <w:rFonts w:ascii="Calibri Light" w:hAnsi="Calibri Light" w:eastAsia="Calibri Light"/>
      <w:color w:val="2f5496"/>
      <w:sz w:val="32"/>
      <w:szCs w:val="32"/>
    </w:rPr>
  </w:style>
  <w:style w:type="character" w:styleId="char3" w:customStyle="1">
    <w:name w:val="Заголовок 3 Знак"/>
    <w:basedOn w:val="char0"/>
    <w:rPr>
      <w:rFonts w:eastAsia="Calibri Light"/>
      <w:color w:val="2f5496"/>
      <w:sz w:val="28"/>
      <w:szCs w:val="28"/>
    </w:rPr>
  </w:style>
  <w:style w:type="character" w:styleId="char4" w:customStyle="1">
    <w:name w:val="Заголовок 4 Знак"/>
    <w:basedOn w:val="char0"/>
    <w:rPr>
      <w:rFonts w:eastAsia="Calibri Light"/>
      <w:i/>
      <w:iCs/>
      <w:color w:val="2f5496"/>
    </w:rPr>
  </w:style>
  <w:style w:type="character" w:styleId="char5" w:customStyle="1">
    <w:name w:val="Заголовок 5 Знак"/>
    <w:basedOn w:val="char0"/>
    <w:rPr>
      <w:rFonts w:eastAsia="Calibri Light"/>
      <w:color w:val="2f5496"/>
    </w:rPr>
  </w:style>
  <w:style w:type="character" w:styleId="char6" w:customStyle="1">
    <w:name w:val="Заголовок 6 Знак"/>
    <w:basedOn w:val="char0"/>
    <w:rPr>
      <w:rFonts w:eastAsia="Calibri Light"/>
      <w:i/>
      <w:iCs/>
      <w:color w:val="595959"/>
    </w:rPr>
  </w:style>
  <w:style w:type="character" w:styleId="char7" w:customStyle="1">
    <w:name w:val="Заголовок 7 Знак"/>
    <w:basedOn w:val="char0"/>
    <w:rPr>
      <w:rFonts w:eastAsia="Calibri Light"/>
      <w:color w:val="595959"/>
    </w:rPr>
  </w:style>
  <w:style w:type="character" w:styleId="char8" w:customStyle="1">
    <w:name w:val="Заголовок 8 Знак"/>
    <w:basedOn w:val="char0"/>
    <w:rPr>
      <w:rFonts w:eastAsia="Calibri Light"/>
      <w:i/>
      <w:iCs/>
      <w:color w:val="272727"/>
    </w:rPr>
  </w:style>
  <w:style w:type="character" w:styleId="char9" w:customStyle="1">
    <w:name w:val="Заголовок 9 Знак"/>
    <w:basedOn w:val="char0"/>
    <w:rPr>
      <w:rFonts w:eastAsia="Calibri Light"/>
      <w:color w:val="272727"/>
    </w:rPr>
  </w:style>
  <w:style w:type="character" w:styleId="char10" w:customStyle="1">
    <w:name w:val="Заголовок Знак"/>
    <w:basedOn w:val="char0"/>
    <w:rPr>
      <w:rFonts w:ascii="Calibri Light" w:hAnsi="Calibri Light" w:eastAsia="Calibri Light"/>
      <w:spacing w:val="-9"/>
      <w:kern w:val="1"/>
      <w:sz w:val="56"/>
      <w:szCs w:val="56"/>
    </w:rPr>
  </w:style>
  <w:style w:type="character" w:styleId="char11" w:customStyle="1">
    <w:name w:val="Подзаголовок Знак"/>
    <w:basedOn w:val="char0"/>
    <w:rPr>
      <w:rFonts w:eastAsia="Calibri Light"/>
      <w:color w:val="595959"/>
      <w:spacing w:val="15"/>
      <w:sz w:val="28"/>
      <w:szCs w:val="28"/>
    </w:rPr>
  </w:style>
  <w:style w:type="character" w:styleId="char12" w:customStyle="1">
    <w:name w:val="Цитата 2 Знак"/>
    <w:basedOn w:val="char0"/>
    <w:rPr>
      <w:i/>
      <w:iCs/>
      <w:color w:val="404040"/>
    </w:rPr>
  </w:style>
  <w:style w:type="character" w:styleId="char13">
    <w:name w:val="Intense Emphasis"/>
    <w:basedOn w:val="char0"/>
    <w:rPr>
      <w:i/>
      <w:iCs/>
      <w:color w:val="2f5496"/>
    </w:rPr>
  </w:style>
  <w:style w:type="character" w:styleId="char14" w:customStyle="1">
    <w:name w:val="Выделенная цитата Знак"/>
    <w:basedOn w:val="char0"/>
    <w:rPr>
      <w:i/>
      <w:iCs/>
      <w:color w:val="2f5496"/>
    </w:rPr>
  </w:style>
  <w:style w:type="character" w:styleId="char15">
    <w:name w:val="Intense Reference"/>
    <w:basedOn w:val="char0"/>
    <w:rPr>
      <w:b/>
      <w:bCs/>
      <w:smallCaps/>
      <w:color w:val="2f5496"/>
      <w:spacing w:val="5"/>
    </w:rPr>
  </w:style>
  <w:style w:type="character" w:styleId="char16" w:customStyle="1">
    <w:name w:val="Верхний колонтитул Знак"/>
    <w:basedOn w:val="char0"/>
  </w:style>
  <w:style w:type="character" w:styleId="char17" w:customStyle="1">
    <w:name w:val="Нижний колонтитул Знак"/>
    <w:basedOn w:val="char0"/>
  </w:style>
  <w:style w:type="character" w:styleId="char18">
    <w:name w:val="Page Number"/>
    <w:basedOn w:val="char0"/>
  </w:style>
  <w:style w:type="character" w:styleId="char19">
    <w:name w:val="Hyperlink"/>
    <w:basedOn w:val="char0"/>
    <w:rPr>
      <w:color w:val="0563c1"/>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40" w:lineRule="auto"/>
    </w:pPr>
    <w:rPr>
      <w:rFonts w:ascii="Times New Roman" w:hAnsi="Times New Roman" w:eastAsia="Times New Roman" w:cs="Times New Roman"/>
      <w:kern w:val="1"/>
      <w:sz w:val="20"/>
      <w:szCs w:val="20"/>
      <w:lang w:eastAsia="ru-ru"/>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NormalTable"/>
    <w:pPr>
      <w:spacing w:after="0" w:line="240" w:lineRule="auto"/>
    </w:pPr>
    <w:rPr>
      <w:rFonts w:ascii="Calibri" w:hAnsi="Calibri" w:eastAsia="Calibri" w:cs="Times New Roman"/>
      <w:kern w:val="1"/>
      <w:sz w:val="20"/>
      <w:szCs w:val="20"/>
      <w:lang w:eastAsia="ru-ru"/>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2">
    <w:name w:val="Сетка таблицы2"/>
    <w:basedOn w:val="NormalTable"/>
    <w:pPr>
      <w:spacing w:after="0" w:line="240" w:lineRule="auto"/>
    </w:pPr>
    <w:rPr>
      <w:rFonts w:ascii="Calibri" w:hAnsi="Calibri" w:eastAsia="Calibri" w:cs="Times New Roman"/>
      <w:kern w:val="1"/>
      <w:sz w:val="20"/>
      <w:szCs w:val="20"/>
      <w:lang w:eastAsia="ru-ru"/>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Times New Roman"/>
        <w:kern w:val="1"/>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360" w:after="80"/>
      <w:keepNext/>
      <w:outlineLvl w:val="0"/>
      <w:keepLines/>
    </w:pPr>
    <w:rPr>
      <w:rFonts w:ascii="Calibri Light" w:hAnsi="Calibri Light" w:eastAsia="Calibri Light"/>
      <w:color w:val="2f5496"/>
      <w:sz w:val="40"/>
      <w:szCs w:val="40"/>
    </w:rPr>
  </w:style>
  <w:style w:type="paragraph" w:styleId="para2">
    <w:name w:val="heading 2"/>
    <w:qFormat/>
    <w:basedOn w:val="para0"/>
    <w:next w:val="para0"/>
    <w:pPr>
      <w:spacing w:before="160" w:after="80"/>
      <w:keepNext/>
      <w:outlineLvl w:val="1"/>
      <w:keepLines/>
    </w:pPr>
    <w:rPr>
      <w:rFonts w:ascii="Calibri Light" w:hAnsi="Calibri Light" w:eastAsia="Calibri Light"/>
      <w:color w:val="2f5496"/>
      <w:sz w:val="32"/>
      <w:szCs w:val="32"/>
    </w:rPr>
  </w:style>
  <w:style w:type="paragraph" w:styleId="para3">
    <w:name w:val="heading 3"/>
    <w:qFormat/>
    <w:basedOn w:val="para0"/>
    <w:next w:val="para0"/>
    <w:pPr>
      <w:spacing w:before="160" w:after="80"/>
      <w:keepNext/>
      <w:outlineLvl w:val="2"/>
      <w:keepLines/>
    </w:pPr>
    <w:rPr>
      <w:rFonts w:eastAsia="Calibri Light"/>
      <w:color w:val="2f5496"/>
      <w:sz w:val="28"/>
      <w:szCs w:val="28"/>
    </w:rPr>
  </w:style>
  <w:style w:type="paragraph" w:styleId="para4">
    <w:name w:val="heading 4"/>
    <w:qFormat/>
    <w:basedOn w:val="para0"/>
    <w:next w:val="para0"/>
    <w:pPr>
      <w:spacing w:before="80" w:after="40"/>
      <w:keepNext/>
      <w:outlineLvl w:val="3"/>
      <w:keepLines/>
    </w:pPr>
    <w:rPr>
      <w:rFonts w:eastAsia="Calibri Light"/>
      <w:i/>
      <w:iCs/>
      <w:color w:val="2f5496"/>
    </w:rPr>
  </w:style>
  <w:style w:type="paragraph" w:styleId="para5">
    <w:name w:val="heading 5"/>
    <w:qFormat/>
    <w:basedOn w:val="para0"/>
    <w:next w:val="para0"/>
    <w:pPr>
      <w:spacing w:before="80" w:after="40"/>
      <w:keepNext/>
      <w:outlineLvl w:val="4"/>
      <w:keepLines/>
    </w:pPr>
    <w:rPr>
      <w:rFonts w:eastAsia="Calibri Light"/>
      <w:color w:val="2f5496"/>
    </w:rPr>
  </w:style>
  <w:style w:type="paragraph" w:styleId="para6">
    <w:name w:val="heading 6"/>
    <w:qFormat/>
    <w:basedOn w:val="para0"/>
    <w:next w:val="para0"/>
    <w:pPr>
      <w:spacing w:before="40" w:after="0"/>
      <w:keepNext/>
      <w:outlineLvl w:val="5"/>
      <w:keepLines/>
    </w:pPr>
    <w:rPr>
      <w:rFonts w:eastAsia="Calibri Light"/>
      <w:i/>
      <w:iCs/>
      <w:color w:val="595959"/>
    </w:rPr>
  </w:style>
  <w:style w:type="paragraph" w:styleId="para7">
    <w:name w:val="heading 7"/>
    <w:qFormat/>
    <w:basedOn w:val="para0"/>
    <w:next w:val="para0"/>
    <w:pPr>
      <w:spacing w:before="40" w:after="0"/>
      <w:keepNext/>
      <w:outlineLvl w:val="6"/>
      <w:keepLines/>
    </w:pPr>
    <w:rPr>
      <w:rFonts w:eastAsia="Calibri Light"/>
      <w:color w:val="595959"/>
    </w:rPr>
  </w:style>
  <w:style w:type="paragraph" w:styleId="para8">
    <w:name w:val="heading 8"/>
    <w:qFormat/>
    <w:basedOn w:val="para0"/>
    <w:next w:val="para0"/>
    <w:pPr>
      <w:spacing w:after="0"/>
      <w:keepNext/>
      <w:outlineLvl w:val="7"/>
      <w:keepLines/>
    </w:pPr>
    <w:rPr>
      <w:rFonts w:eastAsia="Calibri Light"/>
      <w:i/>
      <w:iCs/>
      <w:color w:val="272727"/>
    </w:rPr>
  </w:style>
  <w:style w:type="paragraph" w:styleId="para9">
    <w:name w:val="heading 9"/>
    <w:qFormat/>
    <w:basedOn w:val="para0"/>
    <w:next w:val="para0"/>
    <w:pPr>
      <w:spacing w:after="0"/>
      <w:keepNext/>
      <w:outlineLvl w:val="8"/>
      <w:keepLines/>
    </w:pPr>
    <w:rPr>
      <w:rFonts w:eastAsia="Calibri Light"/>
      <w:color w:val="272727"/>
    </w:rPr>
  </w:style>
  <w:style w:type="paragraph" w:styleId="para10">
    <w:name w:val="Title"/>
    <w:qFormat/>
    <w:basedOn w:val="para0"/>
    <w:next w:val="para0"/>
    <w:pPr>
      <w:spacing w:after="80" w:line="240" w:lineRule="auto"/>
      <w:contextualSpacing/>
    </w:pPr>
    <w:rPr>
      <w:rFonts w:ascii="Calibri Light" w:hAnsi="Calibri Light" w:eastAsia="Calibri Light"/>
      <w:spacing w:val="-9"/>
      <w:sz w:val="56"/>
      <w:szCs w:val="56"/>
    </w:rPr>
  </w:style>
  <w:style w:type="paragraph" w:styleId="para11">
    <w:name w:val="Subtitle"/>
    <w:qFormat/>
    <w:basedOn w:val="para0"/>
    <w:next w:val="para0"/>
    <w:rPr>
      <w:rFonts w:eastAsia="Calibri Light"/>
      <w:color w:val="595959"/>
      <w:spacing w:val="15"/>
      <w:sz w:val="28"/>
      <w:szCs w:val="28"/>
    </w:rPr>
  </w:style>
  <w:style w:type="paragraph" w:styleId="para12">
    <w:name w:val="Quote"/>
    <w:qFormat/>
    <w:basedOn w:val="para0"/>
    <w:next w:val="para0"/>
    <w:pPr>
      <w:spacing w:before="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2F5496" tmln="10, 20, 20, 0, 200"/>
        <w:left w:val="nil" w:sz="0" w:space="3" w:color="000000" tmln="20, 20, 20, 0, 60"/>
        <w:bottom w:val="single" w:sz="4" w:space="10" w:color="2F5496" tmln="10, 20, 20, 0, 200"/>
        <w:right w:val="nil" w:sz="0" w:space="3" w:color="000000" tmln="20, 20, 20, 0, 60"/>
        <w:between w:val="nil" w:sz="0" w:space="0" w:color="000000" tmln="20, 20, 20, 0, 0"/>
      </w:pBdr>
      <w:shd w:val="none"/>
    </w:pPr>
    <w:rPr>
      <w:i/>
      <w:iCs/>
      <w:color w:val="2f5496"/>
    </w:rPr>
  </w:style>
  <w:style w:type="paragraph" w:styleId="para15">
    <w:name w:val="Header"/>
    <w:qFormat/>
    <w:basedOn w:val="para0"/>
    <w:pPr>
      <w:spacing w:after="0" w:line="240" w:lineRule="auto"/>
      <w:tabs defTabSz="708">
        <w:tab w:val="center" w:pos="4677" w:leader="none"/>
        <w:tab w:val="right" w:pos="9355" w:leader="none"/>
      </w:tabs>
    </w:pPr>
  </w:style>
  <w:style w:type="paragraph" w:styleId="para16">
    <w:name w:val="Footer"/>
    <w:qFormat/>
    <w:basedOn w:val="para0"/>
    <w:pPr>
      <w:spacing w:after="0" w:line="240" w:lineRule="auto"/>
      <w:tabs defTabSz="708">
        <w:tab w:val="center" w:pos="4677" w:leader="none"/>
        <w:tab w:val="right" w:pos="9355" w:leader="none"/>
      </w:tabs>
    </w:pPr>
  </w:style>
  <w:style w:type="paragraph" w:styleId="para17">
    <w:name w:val="toc 1"/>
    <w:qFormat/>
    <w:basedOn w:val="para0"/>
    <w:next w:val="para0"/>
    <w:pPr>
      <w:spacing w:after="100"/>
    </w:pPr>
  </w:style>
  <w:style w:type="character" w:styleId="char0" w:default="1">
    <w:name w:val="Default Paragraph Font"/>
  </w:style>
  <w:style w:type="character" w:styleId="char1" w:customStyle="1">
    <w:name w:val="Заголовок 1 Знак"/>
    <w:basedOn w:val="char0"/>
    <w:rPr>
      <w:rFonts w:ascii="Calibri Light" w:hAnsi="Calibri Light" w:eastAsia="Calibri Light"/>
      <w:color w:val="2f5496"/>
      <w:sz w:val="40"/>
      <w:szCs w:val="40"/>
    </w:rPr>
  </w:style>
  <w:style w:type="character" w:styleId="char2" w:customStyle="1">
    <w:name w:val="Заголовок 2 Знак"/>
    <w:basedOn w:val="char0"/>
    <w:rPr>
      <w:rFonts w:ascii="Calibri Light" w:hAnsi="Calibri Light" w:eastAsia="Calibri Light"/>
      <w:color w:val="2f5496"/>
      <w:sz w:val="32"/>
      <w:szCs w:val="32"/>
    </w:rPr>
  </w:style>
  <w:style w:type="character" w:styleId="char3" w:customStyle="1">
    <w:name w:val="Заголовок 3 Знак"/>
    <w:basedOn w:val="char0"/>
    <w:rPr>
      <w:rFonts w:eastAsia="Calibri Light"/>
      <w:color w:val="2f5496"/>
      <w:sz w:val="28"/>
      <w:szCs w:val="28"/>
    </w:rPr>
  </w:style>
  <w:style w:type="character" w:styleId="char4" w:customStyle="1">
    <w:name w:val="Заголовок 4 Знак"/>
    <w:basedOn w:val="char0"/>
    <w:rPr>
      <w:rFonts w:eastAsia="Calibri Light"/>
      <w:i/>
      <w:iCs/>
      <w:color w:val="2f5496"/>
    </w:rPr>
  </w:style>
  <w:style w:type="character" w:styleId="char5" w:customStyle="1">
    <w:name w:val="Заголовок 5 Знак"/>
    <w:basedOn w:val="char0"/>
    <w:rPr>
      <w:rFonts w:eastAsia="Calibri Light"/>
      <w:color w:val="2f5496"/>
    </w:rPr>
  </w:style>
  <w:style w:type="character" w:styleId="char6" w:customStyle="1">
    <w:name w:val="Заголовок 6 Знак"/>
    <w:basedOn w:val="char0"/>
    <w:rPr>
      <w:rFonts w:eastAsia="Calibri Light"/>
      <w:i/>
      <w:iCs/>
      <w:color w:val="595959"/>
    </w:rPr>
  </w:style>
  <w:style w:type="character" w:styleId="char7" w:customStyle="1">
    <w:name w:val="Заголовок 7 Знак"/>
    <w:basedOn w:val="char0"/>
    <w:rPr>
      <w:rFonts w:eastAsia="Calibri Light"/>
      <w:color w:val="595959"/>
    </w:rPr>
  </w:style>
  <w:style w:type="character" w:styleId="char8" w:customStyle="1">
    <w:name w:val="Заголовок 8 Знак"/>
    <w:basedOn w:val="char0"/>
    <w:rPr>
      <w:rFonts w:eastAsia="Calibri Light"/>
      <w:i/>
      <w:iCs/>
      <w:color w:val="272727"/>
    </w:rPr>
  </w:style>
  <w:style w:type="character" w:styleId="char9" w:customStyle="1">
    <w:name w:val="Заголовок 9 Знак"/>
    <w:basedOn w:val="char0"/>
    <w:rPr>
      <w:rFonts w:eastAsia="Calibri Light"/>
      <w:color w:val="272727"/>
    </w:rPr>
  </w:style>
  <w:style w:type="character" w:styleId="char10" w:customStyle="1">
    <w:name w:val="Заголовок Знак"/>
    <w:basedOn w:val="char0"/>
    <w:rPr>
      <w:rFonts w:ascii="Calibri Light" w:hAnsi="Calibri Light" w:eastAsia="Calibri Light"/>
      <w:spacing w:val="-9"/>
      <w:kern w:val="1"/>
      <w:sz w:val="56"/>
      <w:szCs w:val="56"/>
    </w:rPr>
  </w:style>
  <w:style w:type="character" w:styleId="char11" w:customStyle="1">
    <w:name w:val="Подзаголовок Знак"/>
    <w:basedOn w:val="char0"/>
    <w:rPr>
      <w:rFonts w:eastAsia="Calibri Light"/>
      <w:color w:val="595959"/>
      <w:spacing w:val="15"/>
      <w:sz w:val="28"/>
      <w:szCs w:val="28"/>
    </w:rPr>
  </w:style>
  <w:style w:type="character" w:styleId="char12" w:customStyle="1">
    <w:name w:val="Цитата 2 Знак"/>
    <w:basedOn w:val="char0"/>
    <w:rPr>
      <w:i/>
      <w:iCs/>
      <w:color w:val="404040"/>
    </w:rPr>
  </w:style>
  <w:style w:type="character" w:styleId="char13">
    <w:name w:val="Intense Emphasis"/>
    <w:basedOn w:val="char0"/>
    <w:rPr>
      <w:i/>
      <w:iCs/>
      <w:color w:val="2f5496"/>
    </w:rPr>
  </w:style>
  <w:style w:type="character" w:styleId="char14" w:customStyle="1">
    <w:name w:val="Выделенная цитата Знак"/>
    <w:basedOn w:val="char0"/>
    <w:rPr>
      <w:i/>
      <w:iCs/>
      <w:color w:val="2f5496"/>
    </w:rPr>
  </w:style>
  <w:style w:type="character" w:styleId="char15">
    <w:name w:val="Intense Reference"/>
    <w:basedOn w:val="char0"/>
    <w:rPr>
      <w:b/>
      <w:bCs/>
      <w:smallCaps/>
      <w:color w:val="2f5496"/>
      <w:spacing w:val="5"/>
    </w:rPr>
  </w:style>
  <w:style w:type="character" w:styleId="char16" w:customStyle="1">
    <w:name w:val="Верхний колонтитул Знак"/>
    <w:basedOn w:val="char0"/>
  </w:style>
  <w:style w:type="character" w:styleId="char17" w:customStyle="1">
    <w:name w:val="Нижний колонтитул Знак"/>
    <w:basedOn w:val="char0"/>
  </w:style>
  <w:style w:type="character" w:styleId="char18">
    <w:name w:val="Page Number"/>
    <w:basedOn w:val="char0"/>
  </w:style>
  <w:style w:type="character" w:styleId="char19">
    <w:name w:val="Hyperlink"/>
    <w:basedOn w:val="char0"/>
    <w:rPr>
      <w:color w:val="0563c1"/>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40" w:lineRule="auto"/>
    </w:pPr>
    <w:rPr>
      <w:rFonts w:ascii="Times New Roman" w:hAnsi="Times New Roman" w:eastAsia="Times New Roman" w:cs="Times New Roman"/>
      <w:kern w:val="1"/>
      <w:sz w:val="20"/>
      <w:szCs w:val="20"/>
      <w:lang w:eastAsia="ru-ru"/>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NormalTable"/>
    <w:pPr>
      <w:spacing w:after="0" w:line="240" w:lineRule="auto"/>
    </w:pPr>
    <w:rPr>
      <w:rFonts w:ascii="Calibri" w:hAnsi="Calibri" w:eastAsia="Calibri" w:cs="Times New Roman"/>
      <w:kern w:val="1"/>
      <w:sz w:val="20"/>
      <w:szCs w:val="20"/>
      <w:lang w:eastAsia="ru-ru"/>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2">
    <w:name w:val="Сетка таблицы2"/>
    <w:basedOn w:val="NormalTable"/>
    <w:pPr>
      <w:spacing w:after="0" w:line="240" w:lineRule="auto"/>
    </w:pPr>
    <w:rPr>
      <w:rFonts w:ascii="Calibri" w:hAnsi="Calibri" w:eastAsia="Calibri" w:cs="Times New Roman"/>
      <w:kern w:val="1"/>
      <w:sz w:val="20"/>
      <w:szCs w:val="20"/>
      <w:lang w:eastAsia="ru-ru"/>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header" Target="header6.xml"/><Relationship Id="rId19" Type="http://schemas.openxmlformats.org/officeDocument/2006/relationships/footer" Target="footer6.xml"/><Relationship Id="rId20" Type="http://schemas.openxmlformats.org/officeDocument/2006/relationships/header" Target="header7.xml"/><Relationship Id="rId21" Type="http://schemas.openxmlformats.org/officeDocument/2006/relationships/footer" Target="footer7.xml"/><Relationship Id="rId22" Type="http://schemas.openxmlformats.org/officeDocument/2006/relationships/header" Target="header8.xml"/><Relationship Id="rId23" Type="http://schemas.openxmlformats.org/officeDocument/2006/relationships/footer" Target="footer8.xml"/><Relationship Id="rId24" Type="http://schemas.openxmlformats.org/officeDocument/2006/relationships/header" Target="header9.xml"/><Relationship Id="rId25" Type="http://schemas.openxmlformats.org/officeDocument/2006/relationships/footer" Target="footer9.xml"/><Relationship Id="rId26" Type="http://schemas.openxmlformats.org/officeDocument/2006/relationships/header" Target="header10.xml"/><Relationship Id="rId27" Type="http://schemas.openxmlformats.org/officeDocument/2006/relationships/footer" Target="footer10.xml"/><Relationship Id="rId28" Type="http://schemas.openxmlformats.org/officeDocument/2006/relationships/header" Target="header11.xml"/><Relationship Id="rId29" Type="http://schemas.openxmlformats.org/officeDocument/2006/relationships/footer" Target="footer11.xml"/><Relationship Id="rId30" Type="http://schemas.openxmlformats.org/officeDocument/2006/relationships/header" Target="header12.xml"/><Relationship Id="rId31" Type="http://schemas.openxmlformats.org/officeDocument/2006/relationships/footer" Target="footer12.xml"/><Relationship Id="rId32" Type="http://schemas.openxmlformats.org/officeDocument/2006/relationships/header" Target="header13.xml"/><Relationship Id="rId33" Type="http://schemas.openxmlformats.org/officeDocument/2006/relationships/footer" Target="footer13.xml"/><Relationship Id="rId34" Type="http://schemas.openxmlformats.org/officeDocument/2006/relationships/header" Target="header14.xml"/><Relationship Id="rId35" Type="http://schemas.openxmlformats.org/officeDocument/2006/relationships/footer" Target="footer14.xml"/><Relationship Id="rId36" Type="http://schemas.openxmlformats.org/officeDocument/2006/relationships/header" Target="header15.xml"/><Relationship Id="rId37" Type="http://schemas.openxmlformats.org/officeDocument/2006/relationships/footer" Target="footer15.xml"/><Relationship Id="rId38" Type="http://schemas.openxmlformats.org/officeDocument/2006/relationships/header" Target="header16.xml"/><Relationship Id="rId39"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
  <cp:revision>3</cp:revision>
  <dcterms:created xsi:type="dcterms:W3CDTF">2025-09-29T09:55:00Z</dcterms:created>
  <dcterms:modified xsi:type="dcterms:W3CDTF">2025-09-30T09:16:28Z</dcterms:modified>
</cp:coreProperties>
</file>