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4706"/>
        <w:spacing w:before="120" w:after="0" w:line="257" w:lineRule="auto"/>
        <w:suppressAutoHyphens/>
        <w:hyphenationLines w:val="0"/>
        <w:keepNext/>
        <w:keepLines/>
        <w:widowControl w:val="0"/>
        <w:tabs defTabSz="708">
          <w:tab w:val="right" w:pos="7710" w:leader="none"/>
        </w:tabs>
        <w:rPr>
          <w:rFonts w:ascii="Times New Roman" w:hAnsi="Times New Roman" w:eastAsia="Times New Roman"/>
          <w:color w:val="000000"/>
          <w:sz w:val="18"/>
          <w:szCs w:val="18"/>
          <w:lang w:val="uk-ua" w:eastAsia="uk-ua"/>
        </w:rPr>
      </w:pPr>
      <w:r>
        <w:rPr>
          <w:rFonts w:ascii="Times New Roman" w:hAnsi="Times New Roman" w:eastAsia="Times New Roman"/>
          <w:color w:val="000000"/>
          <w:sz w:val="18"/>
          <w:szCs w:val="18"/>
          <w:lang w:val="uk-ua" w:eastAsia="uk-ua"/>
        </w:rPr>
        <w:t>Додаток 7</w:t>
        <w:br w:type="textWrapping"/>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eastAsia="Times New Roman"/>
          <w:color w:val="000000"/>
          <w:sz w:val="18"/>
          <w:szCs w:val="18"/>
          <w:lang w:eastAsia="uk-ua"/>
        </w:rPr>
        <w:t xml:space="preserve"> </w:t>
      </w:r>
      <w:r>
        <w:rPr>
          <w:rFonts w:ascii="Times New Roman" w:hAnsi="Times New Roman" w:eastAsia="Times New Roman"/>
          <w:color w:val="000000"/>
          <w:sz w:val="18"/>
          <w:szCs w:val="18"/>
          <w:lang w:val="uk-ua" w:eastAsia="uk-ua"/>
        </w:rPr>
        <w:t>(пункт 39)</w:t>
      </w:r>
      <w:r>
        <w:rPr>
          <w:rFonts w:ascii="Times New Roman" w:hAnsi="Times New Roman" w:eastAsia="Times New Roman"/>
          <w:color w:val="000000"/>
          <w:sz w:val="18"/>
          <w:szCs w:val="18"/>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8"/>
          <w:szCs w:val="28"/>
          <w:lang w:val="uk-ua" w:eastAsia="uk-ua"/>
        </w:rPr>
      </w:pPr>
      <w:r>
        <w:rPr>
          <w:rFonts w:ascii="Times New Roman" w:hAnsi="Times New Roman" w:eastAsia="Times New Roman"/>
          <w:b/>
          <w:bCs/>
          <w:color w:val="000000"/>
          <w:sz w:val="28"/>
          <w:szCs w:val="28"/>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8"/>
          <w:szCs w:val="28"/>
          <w:lang w:val="uk-ua" w:eastAsia="uk-ua"/>
        </w:rPr>
      </w:pPr>
      <w:r>
        <w:rPr>
          <w:rFonts w:ascii="Times New Roman" w:hAnsi="Times New Roman" w:eastAsia="Times New Roman"/>
          <w:b/>
          <w:bCs/>
          <w:color w:val="000000"/>
          <w:sz w:val="28"/>
          <w:szCs w:val="28"/>
          <w:lang w:val="uk-ua" w:eastAsia="uk-ua"/>
        </w:rPr>
        <w:t>Титульний аркуш</w:t>
      </w:r>
    </w:p>
    <w:tbl>
      <w:tblPr>
        <w:tblStyle w:val="NormalTable"/>
        <w:name w:val="Таблица1"/>
        <w:tabOrder w:val="0"/>
        <w:jc w:val="left"/>
        <w:tblInd w:w="0" w:type="dxa"/>
        <w:tblW w:w="9921" w:type="dxa"/>
        <w:tblLook w:val="0000" w:firstRow="0" w:lastRow="0" w:firstColumn="0" w:lastColumn="0" w:noHBand="0" w:noVBand="0"/>
      </w:tblPr>
      <w:tblGrid>
        <w:gridCol w:w="4097"/>
        <w:gridCol w:w="5824"/>
      </w:tblGrid>
      <w:tr>
        <w:trPr>
          <w:cantSplit w:val="0"/>
          <w:trHeight w:val="60" w:hRule="atLeast"/>
        </w:trPr>
        <w:tc>
          <w:tcPr>
            <w:tcW w:w="2065" w:type="pct"/>
            <w:tmTcPr id="1759223739" protected="0"/>
          </w:tcPr>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u w:color="auto" w:val="single"/>
                <w:lang w:eastAsia="uk-ua"/>
              </w:rPr>
              <w:t>30.09.2025</w:t>
            </w:r>
            <w:r>
              <w:rPr>
                <w:rFonts w:ascii="Times New Roman" w:hAnsi="Times New Roman" w:eastAsia="Times New Roman"/>
                <w:color w:val="000000"/>
                <w:sz w:val="24"/>
                <w:szCs w:val="24"/>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(дата реєстрації особою</w:t>
              <w:br w:type="textWrapping"/>
              <w:t>електронного документа)</w:t>
            </w:r>
          </w:p>
          <w:p>
            <w:pPr>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w:t>
            </w:r>
            <w:r>
              <w:rPr>
                <w:rFonts w:ascii="Times New Roman" w:hAnsi="Times New Roman" w:eastAsia="Times New Roman"/>
                <w:color w:val="000000"/>
                <w:sz w:val="24"/>
                <w:szCs w:val="24"/>
                <w:lang w:eastAsia="uk-ua"/>
              </w:rPr>
              <w:t xml:space="preserve"> </w:t>
            </w:r>
            <w:r>
              <w:rPr>
                <w:rFonts w:ascii="Times New Roman" w:hAnsi="Times New Roman" w:eastAsia="Times New Roman"/>
                <w:color w:val="000000"/>
                <w:sz w:val="24"/>
                <w:szCs w:val="24"/>
                <w:u w:color="auto" w:val="single"/>
                <w:lang w:eastAsia="uk-ua"/>
              </w:rPr>
              <w:t>2</w:t>
            </w:r>
            <w:r>
              <w:rPr>
                <w:rFonts w:ascii="Times New Roman" w:hAnsi="Times New Roman" w:eastAsia="Times New Roman"/>
                <w:color w:val="000000"/>
                <w:sz w:val="24"/>
                <w:szCs w:val="24"/>
                <w:lang w:val="uk-ua" w:eastAsia="uk-ua"/>
              </w:rPr>
            </w:r>
          </w:p>
          <w:p>
            <w:pPr>
              <w:ind w:left="180"/>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(вихідний реєстраційний номер електронного документа)</w:t>
            </w:r>
          </w:p>
        </w:tc>
        <w:tc>
          <w:tcPr>
            <w:tcW w:w="2935" w:type="pct"/>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bl>
      <w:tblPr>
        <w:tblStyle w:val="NormalTable"/>
        <w:name w:val="Таблица2"/>
        <w:tabOrder w:val="0"/>
        <w:jc w:val="left"/>
        <w:tblInd w:w="0" w:type="dxa"/>
        <w:tblW w:w="9912" w:type="dxa"/>
        <w:tblLook w:val="0000" w:firstRow="0" w:lastRow="0" w:firstColumn="0" w:lastColumn="0" w:noHBand="0" w:noVBand="0"/>
      </w:tblPr>
      <w:tblGrid>
        <w:gridCol w:w="3304"/>
        <w:gridCol w:w="3304"/>
        <w:gridCol w:w="3304"/>
      </w:tblGrid>
      <w:tr>
        <w:trPr>
          <w:cantSplit w:val="0"/>
          <w:trHeight w:val="60" w:hRule="atLeast"/>
        </w:trPr>
        <w:tc>
          <w:tcPr>
            <w:tcW w:w="1665" w:type="pct"/>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pacing w:val="-2"/>
                <w:sz w:val="24"/>
                <w:szCs w:val="24"/>
                <w:lang w:val="uk-ua" w:eastAsia="uk-ua"/>
              </w:rPr>
            </w:pPr>
            <w:r>
              <w:rPr>
                <w:rFonts w:ascii="HeliosCond" w:hAnsi="HeliosCond" w:eastAsia="Times New Roman" w:cs="HeliosCond"/>
                <w:color w:val="000000"/>
                <w:spacing w:val="-2"/>
                <w:sz w:val="24"/>
                <w:szCs w:val="24"/>
                <w:u w:color="auto" w:val="single"/>
                <w:lang w:val="en-us" w:eastAsia="uk-ua"/>
              </w:rPr>
              <w:t>Голова правління</w:t>
            </w:r>
            <w:r>
              <w:rPr>
                <w:rFonts w:ascii="Times New Roman" w:hAnsi="Times New Roman" w:eastAsia="Times New Roman"/>
                <w:color w:val="000000"/>
                <w:spacing w:val="-2"/>
                <w:sz w:val="24"/>
                <w:szCs w:val="24"/>
                <w:lang w:val="uk-ua" w:eastAsia="uk-ua"/>
              </w:rPr>
              <w:t xml:space="preserve"> </w:t>
            </w:r>
            <w:r>
              <w:rPr>
                <w:rFonts w:ascii="Times New Roman" w:hAnsi="Times New Roman" w:eastAsia="Times New Roman"/>
                <w:color w:val="000000"/>
                <w:spacing w:val="-2"/>
                <w:sz w:val="24"/>
                <w:szCs w:val="24"/>
                <w:lang w:val="uk-ua" w:eastAsia="uk-ua"/>
              </w:rPr>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pacing w:val="-2"/>
                <w:sz w:val="20"/>
                <w:szCs w:val="20"/>
                <w:lang w:val="uk-ua" w:eastAsia="uk-ua"/>
              </w:rPr>
            </w:pPr>
            <w:r>
              <w:rPr>
                <w:rFonts w:ascii="Times New Roman" w:hAnsi="Times New Roman" w:eastAsia="Times New Roman"/>
                <w:color w:val="000000"/>
                <w:spacing w:val="-2"/>
                <w:sz w:val="18"/>
                <w:szCs w:val="20"/>
                <w:lang w:val="uk-ua" w:eastAsia="uk-ua"/>
              </w:rPr>
              <w:t>(посада)</w:t>
            </w:r>
            <w:r>
              <w:rPr>
                <w:rFonts w:ascii="Times New Roman" w:hAnsi="Times New Roman" w:eastAsia="Times New Roman"/>
                <w:color w:val="000000"/>
                <w:spacing w:val="-2"/>
                <w:sz w:val="20"/>
                <w:szCs w:val="20"/>
                <w:lang w:val="uk-ua" w:eastAsia="uk-ua"/>
              </w:rPr>
            </w:r>
          </w:p>
        </w:tc>
        <w:tc>
          <w:tcPr>
            <w:tcW w:w="1665" w:type="pct"/>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_______________________________</w:t>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18"/>
                <w:szCs w:val="18"/>
                <w:lang w:val="uk-ua" w:eastAsia="uk-ua"/>
              </w:rPr>
            </w:pPr>
            <w:r>
              <w:rPr>
                <w:rFonts w:ascii="Times New Roman" w:hAnsi="Times New Roman" w:eastAsia="Times New Roman"/>
                <w:color w:val="000000"/>
                <w:sz w:val="18"/>
                <w:szCs w:val="18"/>
                <w:lang w:val="uk-ua" w:eastAsia="uk-ua"/>
              </w:rPr>
              <w:t xml:space="preserve">(місце для накладання електронного підпису </w:t>
              <w:br w:type="textWrapping"/>
              <w:t>уповноваженої особи емітента/особи, яка надає забезпечення, що базується на кваліфікованому сертифікаті відкритого ключа)</w:t>
            </w:r>
          </w:p>
        </w:tc>
        <w:tc>
          <w:tcPr>
            <w:tcW w:w="1665" w:type="pct"/>
            <w:tmTcPr id="1759223739"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eastAsia="uk-ua"/>
              </w:rPr>
              <w:t>Горда Максим Серг</w:t>
            </w:r>
            <w:r>
              <w:rPr>
                <w:rFonts w:ascii="Times New Roman" w:hAnsi="Times New Roman" w:eastAsia="Times New Roman"/>
                <w:color w:val="000000"/>
                <w:sz w:val="24"/>
                <w:szCs w:val="24"/>
                <w:u w:color="auto" w:val="single"/>
                <w:lang w:val="en-us" w:eastAsia="uk-ua"/>
              </w:rPr>
              <w:t>i</w:t>
            </w:r>
            <w:r>
              <w:rPr>
                <w:rFonts w:ascii="Times New Roman" w:hAnsi="Times New Roman" w:eastAsia="Times New Roman"/>
                <w:color w:val="000000"/>
                <w:sz w:val="24"/>
                <w:szCs w:val="24"/>
                <w:u w:color="auto" w:val="single"/>
                <w:lang w:eastAsia="uk-ua"/>
              </w:rPr>
              <w:t>йович</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18"/>
                <w:szCs w:val="20"/>
                <w:lang w:val="uk-ua" w:eastAsia="uk-ua"/>
              </w:rPr>
              <w:t xml:space="preserve">(прізвище та ініціали керівника </w:t>
              <w:br w:type="textWrapping"/>
              <w:t>або уповноваженої особи)</w:t>
            </w:r>
            <w:r>
              <w:rPr>
                <w:rFonts w:ascii="Times New Roman" w:hAnsi="Times New Roman" w:eastAsia="Times New Roman"/>
                <w:color w:val="000000"/>
                <w:sz w:val="20"/>
                <w:szCs w:val="20"/>
                <w:lang w:val="uk-ua" w:eastAsia="uk-ua"/>
              </w:rPr>
            </w:r>
          </w:p>
        </w:tc>
      </w:tr>
    </w:tbl>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Річний звіт</w:t>
      </w:r>
      <w:r>
        <w:rPr>
          <w:rFonts w:ascii="Pragmatica-Bold" w:hAnsi="Pragmatica-Bold" w:eastAsia="Times New Roman" w:cs="Pragmatica-Bold"/>
          <w:b/>
          <w:bCs/>
          <w:color w:val="000000"/>
          <w:w w:val="90"/>
          <w:sz w:val="20"/>
          <w:szCs w:val="20"/>
          <w:lang w:val="uk-ua" w:eastAsia="uk-ua"/>
        </w:rPr>
        <w:t xml:space="preserve"> </w:t>
      </w:r>
      <w:r>
        <w:rPr>
          <w:rFonts w:ascii="Times New Roman" w:hAnsi="Times New Roman" w:eastAsia="Times New Roman"/>
          <w:b/>
          <w:bCs/>
          <w:color w:val="000000"/>
          <w:sz w:val="24"/>
          <w:szCs w:val="24"/>
          <w:lang w:eastAsia="uk-ua"/>
        </w:rPr>
        <w:t>Приватне акціонерне товариство "Макіївський завод "ФАКЕЛ" ( ідентифікаційний код : 05781213 )</w:t>
      </w:r>
      <w:r>
        <w:rPr>
          <w:rFonts w:ascii="Times New Roman" w:hAnsi="Times New Roman" w:eastAsia="Times New Roman"/>
          <w:b/>
          <w:bCs/>
          <w:color w:val="000000"/>
          <w:sz w:val="24"/>
          <w:szCs w:val="24"/>
          <w:lang w:val="uk-ua" w:eastAsia="uk-ua"/>
        </w:rPr>
        <w:t xml:space="preserve"> за </w:t>
      </w:r>
      <w:r>
        <w:rPr>
          <w:rFonts w:ascii="Times New Roman" w:hAnsi="Times New Roman" w:eastAsia="Times New Roman"/>
          <w:b/>
          <w:color w:val="000000"/>
          <w:sz w:val="24"/>
          <w:szCs w:val="24"/>
          <w:lang w:eastAsia="uk-ua"/>
        </w:rPr>
        <w:t>2022</w:t>
      </w:r>
      <w:r>
        <w:rPr>
          <w:rFonts w:ascii="Times New Roman" w:hAnsi="Times New Roman" w:eastAsia="Times New Roman"/>
          <w:b/>
          <w:bCs/>
          <w:color w:val="000000"/>
          <w:sz w:val="24"/>
          <w:szCs w:val="24"/>
          <w:lang w:val="uk-ua" w:eastAsia="uk-ua"/>
        </w:rPr>
        <w:t xml:space="preserve"> рік</w:t>
      </w:r>
      <w:r>
        <w:rPr>
          <w:rFonts w:ascii="Times New Roman" w:hAnsi="Times New Roman" w:eastAsia="Times New Roman"/>
          <w:b/>
          <w:bCs/>
          <w:color w:val="000000"/>
          <w:sz w:val="24"/>
          <w:szCs w:val="24"/>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b/>
          <w:bCs/>
          <w:color w:val="000000"/>
          <w:sz w:val="24"/>
          <w:szCs w:val="24"/>
          <w:lang w:val="uk-ua" w:eastAsia="uk-ua"/>
        </w:rPr>
        <w:t>Рішення про затвердження річного звіту</w:t>
      </w:r>
      <w:r>
        <w:rPr>
          <w:rFonts w:ascii="Times New Roman" w:hAnsi="Times New Roman" w:eastAsia="Times New Roman"/>
          <w:color w:val="000000"/>
          <w:sz w:val="24"/>
          <w:szCs w:val="24"/>
          <w:lang w:eastAsia="uk-ua"/>
        </w:rPr>
        <w:t xml:space="preserve"> </w:t>
      </w:r>
      <w:r>
        <w:rPr>
          <w:rFonts w:ascii="Times New Roman" w:hAnsi="Times New Roman" w:eastAsia="Times New Roman"/>
          <w:color w:val="000000"/>
          <w:sz w:val="24"/>
          <w:szCs w:val="24"/>
          <w:lang w:val="uk-ua" w:eastAsia="uk-ua"/>
        </w:rPr>
        <w:t>:</w:t>
      </w:r>
      <w:r>
        <w:rPr>
          <w:rFonts w:ascii="Pragmatica-Book" w:hAnsi="Pragmatica-Book" w:eastAsia="Times New Roman" w:cs="Pragmatica-Book"/>
          <w:color w:val="000000"/>
          <w:w w:val="90"/>
          <w:sz w:val="20"/>
          <w:szCs w:val="20"/>
          <w:lang w:eastAsia="uk-ua"/>
        </w:rPr>
        <w:t xml:space="preserve"> </w:t>
      </w:r>
      <w:r>
        <w:rPr>
          <w:rFonts w:ascii="Times New Roman" w:hAnsi="Times New Roman" w:eastAsia="Times New Roman"/>
          <w:color w:val="000000"/>
          <w:sz w:val="24"/>
          <w:szCs w:val="24"/>
          <w:lang w:eastAsia="uk-ua"/>
        </w:rPr>
        <w:t>Рішення наглядової ради емітента</w:t>
      </w:r>
      <w:r>
        <w:rPr>
          <w:rFonts w:ascii="Times New Roman" w:hAnsi="Times New Roman" w:eastAsia="Times New Roman"/>
          <w:color w:val="000000"/>
          <w:sz w:val="24"/>
          <w:szCs w:val="24"/>
          <w:lang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eastAsia="uk-ua"/>
        </w:rPr>
        <w:t>Протокол зас</w:t>
      </w:r>
      <w:r>
        <w:rPr>
          <w:rFonts w:ascii="Times New Roman" w:hAnsi="Times New Roman" w:eastAsia="Times New Roman"/>
          <w:color w:val="000000"/>
          <w:sz w:val="24"/>
          <w:szCs w:val="24"/>
          <w:lang w:val="en-us" w:eastAsia="uk-ua"/>
        </w:rPr>
        <w:t>i</w:t>
      </w:r>
      <w:r>
        <w:rPr>
          <w:rFonts w:ascii="Times New Roman" w:hAnsi="Times New Roman" w:eastAsia="Times New Roman"/>
          <w:color w:val="000000"/>
          <w:sz w:val="24"/>
          <w:szCs w:val="24"/>
          <w:lang w:eastAsia="uk-ua"/>
        </w:rPr>
        <w:t>дання Наглядової ради товариства № 1/05 від 05.05.2023р.</w:t>
      </w:r>
      <w:r>
        <w:rPr>
          <w:rFonts w:ascii="Times New Roman" w:hAnsi="Times New Roman" w:eastAsia="Times New Roman"/>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Особа, яка здійснює діяльність з оприлюднення регульованої інформації:</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Державна установа "Агентство з розвитку інфраструктури фондового ринку України"</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Ідентифікаційний код юридичної особи : 21676262</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Країна реєстрації : Україна</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 xml:space="preserve">Номер свідоцтва : </w:t>
      </w:r>
      <w:r>
        <w:rPr>
          <w:rFonts w:ascii="Times New Roman" w:hAnsi="Times New Roman" w:eastAsia="Times New Roman"/>
          <w:color w:val="000000"/>
          <w:sz w:val="24"/>
          <w:szCs w:val="24"/>
          <w:lang w:val="en-us" w:eastAsia="uk-ua"/>
        </w:rPr>
        <w:t>DR</w:t>
      </w:r>
      <w:r>
        <w:rPr>
          <w:rFonts w:ascii="Times New Roman" w:hAnsi="Times New Roman" w:eastAsia="Times New Roman"/>
          <w:color w:val="000000"/>
          <w:sz w:val="24"/>
          <w:szCs w:val="24"/>
          <w:lang w:eastAsia="uk-ua"/>
        </w:rPr>
        <w:t>/00001/</w:t>
      </w:r>
      <w:r>
        <w:rPr>
          <w:rFonts w:ascii="Times New Roman" w:hAnsi="Times New Roman" w:eastAsia="Times New Roman"/>
          <w:color w:val="000000"/>
          <w:sz w:val="24"/>
          <w:szCs w:val="24"/>
          <w:lang w:val="en-us" w:eastAsia="uk-ua"/>
        </w:rPr>
        <w:t>APA</w:t>
      </w:r>
      <w:r>
        <w:rPr>
          <w:rFonts w:ascii="Times New Roman" w:hAnsi="Times New Roman" w:eastAsia="Times New Roman"/>
          <w:color w:val="000000"/>
          <w:sz w:val="24"/>
          <w:szCs w:val="24"/>
          <w:lang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Державна установа "Агентство з розвитку інфраструктури фондового ринку України"</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Ідентифікаційний код юридичної особи : 21676262</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Країна реєстрації : Україна</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eastAsia="uk-ua"/>
        </w:rPr>
        <w:t xml:space="preserve">Номер свідоцтва : </w:t>
      </w:r>
      <w:r>
        <w:rPr>
          <w:rFonts w:ascii="Times New Roman" w:hAnsi="Times New Roman" w:eastAsia="Times New Roman"/>
          <w:color w:val="000000"/>
          <w:sz w:val="24"/>
          <w:szCs w:val="24"/>
          <w:lang w:val="en-us" w:eastAsia="uk-ua"/>
        </w:rPr>
        <w:t>DR</w:t>
      </w:r>
      <w:r>
        <w:rPr>
          <w:rFonts w:ascii="Times New Roman" w:hAnsi="Times New Roman" w:eastAsia="Times New Roman"/>
          <w:color w:val="000000"/>
          <w:sz w:val="24"/>
          <w:szCs w:val="24"/>
          <w:lang w:eastAsia="uk-ua"/>
        </w:rPr>
        <w:t>/00002/</w:t>
      </w:r>
      <w:r>
        <w:rPr>
          <w:rFonts w:ascii="Times New Roman" w:hAnsi="Times New Roman" w:eastAsia="Times New Roman"/>
          <w:color w:val="000000"/>
          <w:sz w:val="24"/>
          <w:szCs w:val="24"/>
          <w:lang w:val="en-us" w:eastAsia="uk-ua"/>
        </w:rPr>
        <w:t>ARM</w:t>
      </w:r>
      <w:r>
        <w:rPr>
          <w:rFonts w:ascii="Times New Roman" w:hAnsi="Times New Roman" w:eastAsia="Times New Roman"/>
          <w:color w:val="000000"/>
          <w:sz w:val="24"/>
          <w:szCs w:val="24"/>
          <w:lang w:val="uk-ua" w:eastAsia="uk-ua"/>
        </w:rPr>
      </w:r>
    </w:p>
    <w:p>
      <w:pPr>
        <w:spacing w:before="113"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Дані про дату та місце оприлюднення річної інформації:</w:t>
      </w:r>
    </w:p>
    <w:p>
      <w:pPr>
        <w:spacing w:before="113"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bl>
      <w:tblPr>
        <w:tblStyle w:val="NormalTable"/>
        <w:name w:val="Таблица3"/>
        <w:tabOrder w:val="0"/>
        <w:jc w:val="left"/>
        <w:tblInd w:w="0" w:type="dxa"/>
        <w:tblW w:w="9922" w:type="dxa"/>
        <w:tblLook w:val="0000" w:firstRow="0" w:lastRow="0" w:firstColumn="0" w:lastColumn="0" w:noHBand="0" w:noVBand="0"/>
      </w:tblPr>
      <w:tblGrid>
        <w:gridCol w:w="3443"/>
        <w:gridCol w:w="4286"/>
        <w:gridCol w:w="2193"/>
      </w:tblGrid>
      <w:tr>
        <w:trPr>
          <w:cantSplit w:val="0"/>
          <w:trHeight w:val="60" w:hRule="atLeast"/>
        </w:trPr>
        <w:tc>
          <w:tcPr>
            <w:tcW w:w="1735" w:type="pct"/>
            <w:tmTcPr id="1759223739" protected="0"/>
          </w:tcPr>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Річну інформацію розміщено на власному вебсайті емітента</w:t>
            </w:r>
          </w:p>
        </w:tc>
        <w:tc>
          <w:tcPr>
            <w:tcW w:w="2160" w:type="pct"/>
            <w:tmTcPr id="1759223739"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val="en-us" w:eastAsia="uk-ua"/>
              </w:rPr>
              <w:t>fakel</w:t>
            </w:r>
            <w:r>
              <w:rPr>
                <w:rFonts w:ascii="Times New Roman" w:hAnsi="Times New Roman" w:eastAsia="Times New Roman"/>
                <w:color w:val="000000"/>
                <w:sz w:val="24"/>
                <w:szCs w:val="24"/>
                <w:u w:color="auto" w:val="single"/>
                <w:lang w:val="uk-ua" w:eastAsia="uk-ua"/>
              </w:rPr>
              <w:t>.</w:t>
            </w:r>
            <w:r>
              <w:rPr>
                <w:rFonts w:ascii="Times New Roman" w:hAnsi="Times New Roman" w:eastAsia="Times New Roman"/>
                <w:color w:val="000000"/>
                <w:sz w:val="24"/>
                <w:szCs w:val="24"/>
                <w:u w:color="auto" w:val="single"/>
                <w:lang w:val="en-us" w:eastAsia="uk-ua"/>
              </w:rPr>
              <w:t>pat</w:t>
            </w:r>
            <w:r>
              <w:rPr>
                <w:rFonts w:ascii="Times New Roman" w:hAnsi="Times New Roman" w:eastAsia="Times New Roman"/>
                <w:color w:val="000000"/>
                <w:sz w:val="24"/>
                <w:szCs w:val="24"/>
                <w:u w:color="auto" w:val="single"/>
                <w:lang w:val="uk-ua" w:eastAsia="uk-ua"/>
              </w:rPr>
              <w:t>.</w:t>
            </w:r>
            <w:r>
              <w:rPr>
                <w:rFonts w:ascii="Times New Roman" w:hAnsi="Times New Roman" w:eastAsia="Times New Roman"/>
                <w:color w:val="000000"/>
                <w:sz w:val="24"/>
                <w:szCs w:val="24"/>
                <w:u w:color="auto" w:val="single"/>
                <w:lang w:val="en-us" w:eastAsia="uk-ua"/>
              </w:rPr>
              <w:t>ua</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(URL-адреса вебсайту)</w:t>
            </w:r>
          </w:p>
        </w:tc>
        <w:tc>
          <w:tcPr>
            <w:tcW w:w="1105" w:type="pct"/>
            <w:tmTcPr id="1759223739"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val="en-us" w:eastAsia="uk-ua"/>
              </w:rPr>
              <w:t>30.09.2025</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(дата)</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6838" w:w="11906"/>
          <w:pgMar w:left="1418" w:top="340" w:right="567" w:bottom="340"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rPr>
          <w:rFonts w:eastAsia="Times New Roman"/>
          <w:lang w:val="uk-ua" w:eastAsia="uk-ua"/>
        </w:rPr>
      </w:pPr>
      <w:r>
        <w:rPr>
          <w:rFonts w:eastAsia="Times New Roman"/>
          <w:lang w:val="uk-ua" w:eastAsia="uk-ua"/>
        </w:rPr>
      </w:r>
    </w:p>
    <w:p>
      <w:pPr>
        <w:spacing w:before="113"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Пояснення щодо розкриття інформації</w:t>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щодо ус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х випуск</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в, за якими надається забезпечення (якщо р</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чний зв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 подається особою, яка надає забезпечення (незалежно 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д того, чи є особа ем</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тентом)" не розкрита особою у складі річного звіту через те, що річний звіт подає емітент.</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щодо вс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на дають забезпечення за його зобов'язаннями (якщо за зобов'язаннями ем</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тента надаються забезпечення)"  не розкрита особою у складі річного звіту через те, що річний звіт подає емітент.</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судов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штрафн</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санкц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отриманих особою 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ценз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не розкрита особою у складі річного звіту через те, що на кінець звітного періоду особа не мала жодної ліцензії.</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Кредити банку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кредитів.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(за кожним власним випуском)" не розкрита особою у складі річного звіту через те, що на кінець звітного періоду особа не мала зобов'язань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(облігаціями).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за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пох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пох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нансовими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нвестиц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в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нансовими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нвестиц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в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права.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нансова допомога на зворотн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зобов'язаннь по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нансовій допомозі на зворотн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участь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 не розкрита особою у складі річного звіту через те, що на кінець звітного періоду особа не мала відокремилених підрозділів.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ни прав на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розкрита особою у складі річного звіту через те, що протягом звітного періоду особа не мала випадків змін прав на акції.</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розкрита особою у складі річного звіту через те, що на кінець звітного періоду особа не мала зареєстрованих випусків облігацій.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про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деривативн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забезпечення випуску боргових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стан об'єкта нерухомост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раз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льових корпоративних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виконання зобов'язань за якими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шляхом об'єкта (частини об'єкта) житлового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шляхом об'єкта (частини об'єкта) житлового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придбання власних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протягом звітного періоду особа не мала випадків придбання власних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 не розкрита особою у складі річного звіту через те, що на кінець звітного періоду у працівників особи не має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 Усього" не розкрита особою у складі річного звіту через те, що на кінець звітного періоду у працівників особи не має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 не розкрита особою у складі річного звіту через те, що на кінець звітного періоду особа не мала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 Усього" не розкрита особою у складі річного звіту через те, що на кінець звітного періоду особа не мала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обмеження щодо 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гу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в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необх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отримання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особи 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згоди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дчуження таких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мала будь-яких обмеженнь щодо 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гу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в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необх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отримання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особи 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згоди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дчуження таких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яким належать голосуюч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 пакета яких стає 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льшим, меншим або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вним пороговому значенню пакета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входять до ланцюга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корпоративними правами юридичної особи, через яких особа (особи, що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льно)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 розпорядження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"Річна фінансова звітність (</w:t>
      </w:r>
      <w:r>
        <w:rPr>
          <w:rFonts w:ascii="Times New Roman" w:hAnsi="Times New Roman" w:eastAsia="Times New Roman"/>
          <w:sz w:val="20"/>
          <w:szCs w:val="20"/>
          <w:lang w:val="en-us" w:eastAsia="uk-ua"/>
        </w:rPr>
        <w:t>URL</w:t>
      </w:r>
      <w:r>
        <w:rPr>
          <w:rFonts w:ascii="Times New Roman" w:hAnsi="Times New Roman" w:eastAsia="Times New Roman"/>
          <w:sz w:val="20"/>
          <w:szCs w:val="20"/>
          <w:lang w:eastAsia="uk-ua"/>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дка щодо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домостей про аудиторський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тний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не розкрита особою у складі річного звіту через те, що  особа не здійснювала аудит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тний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прийняття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шення про попереднє надання згоди на вчинення значних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вчинення значних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розкрита особою у складі річного звіту через те, що згідно п.48 "Положення про розкриття інформації про розкриття інформації емітентами </w:t>
      </w:r>
      <w:r>
        <w:rPr>
          <w:rFonts w:ascii="Times New Roman" w:hAnsi="Times New Roman" w:eastAsia="Times New Roman"/>
          <w:sz w:val="20"/>
          <w:szCs w:val="20"/>
          <w:lang w:eastAsia="uk-ua"/>
        </w:rPr>
        <w:t>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вчинення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щодо вчинення яких є за</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платеж</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кер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не розкрита особою у складі річного звіту через те, що за звітний період особа має підстави не складати та оприлюднювати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кер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Ми ж розкриваємо Звіт керівництва - сторінка 29 у вас зазначена, тоді відповідно цю фразу потрібно  прибрати.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практику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особи, застосовувану понад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законодавством вимоги. Рада директор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протягом  звітного періоду особа не користувалася практикою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особи, яка застосована понад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законодавством вимоги.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 24.02.2022 року відповідно до Указу Президента України № 64/2022 від 24.02.2022 року у зв'язку з військовою агресією російської федерації на всій території України оголошено  воєнний стан, який було подовжено відповідно до Указів Президента України від 14.03.2022 року № 133/2022, від 18.04.2022 № 259/2022, від 18.05.2022 № 341/2022, від 12.08.2022 № 573/2022, від 07.11.2022 № 757/2022.</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Військові дії 2022 року є обставинами форс-мажору (непереборної сили), і за весь період часу незалежності України є наймаштабнішими й найвпливовішими подіями. У звязку з наведеним та з метою захисту життя та здоров'я акціонерів, загальні збори акціонерів в 2022 році не проводились.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збори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 загальний опис прийнятих на таких зборах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протягом  звітного періоду особа не скликала та не проводила збори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Опис рішень, прийнятих членами наглядової ради в 2022 році.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Засідання Наглядової ради в 2022 році не проводились, у зв'язку   з військовою агресією російської федерації та оголошенням воєнного стану на всій території України з 24.02.2022 року відповідно до Указу Президента України № 64/2022 від 24.02.2022 року, який було подовжено відповідно до Указів Президента України від 14.03.2022 року № 133/2022, від 18.04.2022 № 259/2022, від 18.05.2022 № 341/2022, від 12.08.2022 № 573/2022, від 07.11.2022 № 757/2022.</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Опис рішень, прийнятих членами наглядової ради в 2022 році.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Засідання Наглядової ради в 2022 році не проводились, у зв'язку   з військовою агресією російської федерації та оголошенням воєнного стану на всій території України з 24.02.2022 року відповідно до Указу Президента України № 64/2022 від 24.02.2022 року, який було подовжено відповідно до Указів Президента України від 14.03.2022 року № 133/2022, від 18.04.2022 № 259/2022, від 18.05.2022 № 341/2022, від 12.08.2022 № 573/2022, від 07.11.2022 № 757/2022.</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Рада комітетів не створювала.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Виконавчий орган.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проведен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дання ком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колег</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ального виконавчого органу та загальний опис прийнятих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Виконавчий орган.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одноос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бний виконавчий орган та загальний опис прийнятих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на кінець звітного періоду особа не мала одноосібного виконавчого органу.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корпоративного секретаря, а також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результат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його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корпоративного секретаря.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порядку призначення /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посадових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посадових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ради та виконавчого органу)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радника" не розкрита особою у складі річного звіту через те, що на кінець звітного періоду особа не мала радника.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суб'єкта аудиторської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передбачена законодавством про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та регулювання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ринку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нансових послуг" не розкрита особою у складі річного звіту через те, що на кінець звітного періоду особа не є фінансовою установою.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сталий розвиток" не розкривається, оск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льки Товариство не є емітентом,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яких визначено підпунктами 1-4 пункту 48 Положення про розкриття інформації емітентами цінних паперів, а також особами,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надають забезпечення за такими цінними паперами,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06.06.2023 року № 608.</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засновник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учасник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дноситься 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органах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громадянство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ноземної держави зони ризику" не розкрита особою у складі річного звіту через те, що на кінець звітного періоду особа не мала  в органах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громадянство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ноземної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розкрита особою у складі річного звіту через те, що на кінець звітного періоду  особа не мала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розкрита особою у складі річного звіту через те, що на кінець звітного періоду  особа не мала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розташування доч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компан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дприємств,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представництв та/або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докремлених структурних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на територ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держави зони ризику" не розкрита особою у складі річного звіту через те, що на кінець звітного періоду  особа не мала доч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компан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дприємств,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представництв та/або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докремлених структурних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розташованих на територ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яких є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разом з особами, визначеними пп.1-3 п.47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засновник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учасник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дноситься 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яких є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разом з особами, визначеними пп.1-3 п.47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корпоративних прав в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зареєстрован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зареєстрован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юридичної особи, яка зареєстрована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юридичної особи, яка зареєстрована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договори, укладен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та/або правочини, умовою чинност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яких є незм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йснюють контроль над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тентом" не розкрита особою у складі річного звіту через те, що особа  не мала  договорів та/або правочинів, умовою чинност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яких є незм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йснюють контроль над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тентом, які укладені, набрали чинності або діяли протягом звітного періоду.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винагороди або компенсац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бути виплачен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посадовим особам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в раз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їх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дендна 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денди.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виплату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доход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тному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протягом звітного періоду дивіденди не нараховувалися та не сплачувалися.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виплату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доход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тному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(суми перерахованих/в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дправлених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дну дату)" не розкрита особою у складі річного звіту через те, що протягом звітного періоду дивіденди не нараховувалися та не сплачувалися.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щодо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прав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депозитарних розписок за такими деривативними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зв'язку 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ною прав за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що є базовим активом таких деривативних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про випуски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та його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дношення з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ром (сумою)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з цим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потечним покриттям"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дношення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з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ром (сумою)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з цим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 покриттям на кожну дату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сля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склад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дбувались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тного періоду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склад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або включення нових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до складу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(за кожним випуском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структуру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за видами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оду"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щодо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дстав виникнення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тента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прав на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активи,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складають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потечне покриття за станом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тного року"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прострочених боржником строк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сплати чергових платеж</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за кредитними договорами (договорами позики), права вимоги за якими забезпечено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потеками,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включено до складу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адм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стратора за випуском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управителя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випуски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особи власники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особи власники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Усього"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"Розрахунок вартост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чистих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Складова змісту річної інформації "Список посилань на регульовану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 яка була розкрита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за звітний період особа не розкривала регульовану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чна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поручителя (страховика/гаранта), що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 забезпечення випуску боргових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є поручителем (страховиком/гарантом).</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en-us" w:eastAsia="uk-ua"/>
        </w:rPr>
      </w:pPr>
      <w:r>
        <w:rPr>
          <w:rFonts w:ascii="Times New Roman" w:hAnsi="Times New Roman" w:eastAsia="Times New Roman"/>
          <w:b/>
          <w:color w:val="000000"/>
          <w:sz w:val="24"/>
          <w:szCs w:val="24"/>
          <w:lang w:val="uk-ua" w:eastAsia="uk-ua"/>
        </w:rPr>
        <w:t>Зміст</w:t>
      </w:r>
      <w:r>
        <w:rPr>
          <w:rFonts w:ascii="Times New Roman" w:hAnsi="Times New Roman" w:eastAsia="Times New Roman"/>
          <w:b/>
          <w:color w:val="000000"/>
          <w:sz w:val="24"/>
          <w:szCs w:val="24"/>
          <w:vertAlign w:val="superscript"/>
          <w:lang w:val="uk-ua" w:eastAsia="uk-ua"/>
        </w:rPr>
        <w:t xml:space="preserve"> </w:t>
      </w:r>
      <w:r>
        <w:rPr>
          <w:rFonts w:ascii="Times New Roman" w:hAnsi="Times New Roman" w:eastAsia="Times New Roman"/>
          <w:b/>
          <w:color w:val="000000"/>
          <w:sz w:val="24"/>
          <w:szCs w:val="24"/>
          <w:lang w:val="uk-ua" w:eastAsia="uk-ua"/>
        </w:rPr>
        <w:t>до річного звіту</w:t>
      </w:r>
      <w:r>
        <w:rPr>
          <w:rFonts w:ascii="Times New Roman" w:hAnsi="Times New Roman" w:eastAsia="Times New Roman"/>
          <w:color w:val="000000"/>
          <w:sz w:val="24"/>
          <w:szCs w:val="24"/>
          <w:lang w:val="en-us" w:eastAsia="uk-ua"/>
        </w:rPr>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pStyle w:val="para17"/>
        <w:tabs defTabSz="708">
          <w:tab w:val="right" w:pos="9912" w:leader="dot"/>
        </w:tabs>
      </w:pPr>
      <w:r>
        <w:fldChar w:fldCharType="begin"/>
      </w:r>
      <w:r>
        <w:instrText xml:space="preserve"> TOC \o \z \h </w:instrText>
      </w:r>
      <w:r>
        <w:fldChar w:fldCharType="separate"/>
      </w:r>
      <w:hyperlink w:anchor="_Toc210041584" w:history="1">
        <w:r>
          <w:rPr>
            <w:rStyle w:val="char19"/>
            <w:rFonts w:ascii="Times New Roman" w:hAnsi="Times New Roman" w:eastAsia="Times New Roman"/>
            <w:b/>
            <w:bCs/>
            <w:color w:val="auto"/>
            <w:kern w:val="0"/>
            <w:u w:color="auto" w:val="none"/>
            <w:lang w:val="uk-ua" w:eastAsia="uk-ua"/>
          </w:rPr>
          <w:t>I. Загальна інформація</w:t>
        </w:r>
        <w:r>
          <w:tab/>
        </w:r>
        <w:r>
          <w:fldChar w:fldCharType="begin"/>
          <w:instrText xml:space="preserve"> PAGEREF _Toc210041584 \h \* Arabic </w:instrText>
          <w:fldChar w:fldCharType="separate"/>
          <w:t>7</w:t>
          <w:fldChar w:fldCharType="end"/>
        </w:r>
      </w:hyperlink>
    </w:p>
    <w:p>
      <w:pPr>
        <w:pStyle w:val="para17"/>
        <w:tabs defTabSz="708">
          <w:tab w:val="right" w:pos="9912" w:leader="dot"/>
        </w:tabs>
      </w:pPr>
      <w:hyperlink w:anchor="_Toc210041585" w:history="1">
        <w:r>
          <w:rPr>
            <w:rStyle w:val="char19"/>
            <w:rFonts w:ascii="Times New Roman" w:hAnsi="Times New Roman" w:eastAsia="Times New Roman"/>
            <w:b/>
            <w:bCs/>
            <w:color w:val="auto"/>
            <w:kern w:val="0"/>
            <w:u w:color="auto" w:val="none"/>
            <w:lang w:val="uk-ua" w:eastAsia="uk-ua"/>
          </w:rPr>
          <w:t>1. Ідентифікаційні дані та загальна інформація</w:t>
        </w:r>
        <w:r>
          <w:tab/>
        </w:r>
        <w:r>
          <w:fldChar w:fldCharType="begin"/>
          <w:instrText xml:space="preserve"> PAGEREF _Toc210041585 \h \* Arabic </w:instrText>
          <w:fldChar w:fldCharType="separate"/>
          <w:t>7</w:t>
          <w:fldChar w:fldCharType="end"/>
        </w:r>
      </w:hyperlink>
    </w:p>
    <w:p>
      <w:pPr>
        <w:pStyle w:val="para17"/>
        <w:tabs defTabSz="708">
          <w:tab w:val="right" w:pos="9912" w:leader="dot"/>
        </w:tabs>
      </w:pPr>
      <w:hyperlink w:anchor="_Toc210041586" w:history="1">
        <w:r>
          <w:rPr>
            <w:rStyle w:val="char19"/>
            <w:rFonts w:ascii="Times New Roman" w:hAnsi="Times New Roman" w:eastAsia="Times New Roman"/>
            <w:b/>
            <w:bCs/>
            <w:color w:val="auto"/>
            <w:kern w:val="0"/>
            <w:u w:color="auto" w:val="none"/>
            <w:lang w:val="uk-ua" w:eastAsia="uk-ua"/>
          </w:rPr>
          <w:t>2. Органи управління та посадові особи. Організаційна структура</w:t>
        </w:r>
        <w:r>
          <w:tab/>
        </w:r>
        <w:r>
          <w:fldChar w:fldCharType="begin"/>
          <w:instrText xml:space="preserve"> PAGEREF _Toc210041586 \h \* Arabic </w:instrText>
          <w:fldChar w:fldCharType="separate"/>
          <w:t>10</w:t>
          <w:fldChar w:fldCharType="end"/>
        </w:r>
      </w:hyperlink>
    </w:p>
    <w:p>
      <w:pPr>
        <w:pStyle w:val="para17"/>
        <w:tabs defTabSz="708">
          <w:tab w:val="right" w:pos="9912" w:leader="dot"/>
        </w:tabs>
      </w:pPr>
      <w:hyperlink w:anchor="_Toc210041587" w:history="1">
        <w:r>
          <w:rPr>
            <w:rStyle w:val="char19"/>
            <w:rFonts w:ascii="Times New Roman" w:hAnsi="Times New Roman" w:eastAsia="Times New Roman"/>
            <w:b/>
            <w:bCs/>
            <w:color w:val="auto"/>
            <w:kern w:val="0"/>
            <w:u w:color="auto" w:val="none"/>
            <w:lang w:eastAsia="uk-ua"/>
          </w:rPr>
          <w:t xml:space="preserve">3. </w:t>
        </w:r>
        <w:r>
          <w:rPr>
            <w:rStyle w:val="char19"/>
            <w:rFonts w:ascii="Times New Roman" w:hAnsi="Times New Roman" w:eastAsia="Times New Roman"/>
            <w:b/>
            <w:bCs/>
            <w:color w:val="auto"/>
            <w:kern w:val="0"/>
            <w:u w:color="auto" w:val="none"/>
            <w:lang w:val="uk-ua" w:eastAsia="uk-ua"/>
          </w:rPr>
          <w:t>Структура власності</w:t>
        </w:r>
        <w:r>
          <w:tab/>
        </w:r>
        <w:r>
          <w:fldChar w:fldCharType="begin"/>
          <w:instrText xml:space="preserve"> PAGEREF _Toc210041587 \h \* Arabic </w:instrText>
          <w:fldChar w:fldCharType="separate"/>
          <w:t>14</w:t>
          <w:fldChar w:fldCharType="end"/>
        </w:r>
      </w:hyperlink>
    </w:p>
    <w:p>
      <w:pPr>
        <w:pStyle w:val="para17"/>
        <w:tabs defTabSz="708">
          <w:tab w:val="right" w:pos="9912" w:leader="dot"/>
        </w:tabs>
      </w:pPr>
      <w:hyperlink w:anchor="_Toc210041588" w:history="1">
        <w:r>
          <w:rPr>
            <w:rStyle w:val="char19"/>
            <w:rFonts w:ascii="Times New Roman" w:hAnsi="Times New Roman" w:eastAsia="Times New Roman"/>
            <w:b/>
            <w:bCs/>
            <w:color w:val="auto"/>
            <w:kern w:val="0"/>
            <w:u w:color="auto" w:val="none"/>
            <w:lang w:eastAsia="uk-ua"/>
          </w:rPr>
          <w:t xml:space="preserve">4. </w:t>
        </w:r>
        <w:r>
          <w:rPr>
            <w:rStyle w:val="char19"/>
            <w:rFonts w:ascii="Times New Roman" w:hAnsi="Times New Roman" w:eastAsia="Times New Roman"/>
            <w:b/>
            <w:bCs/>
            <w:color w:val="auto"/>
            <w:kern w:val="0"/>
            <w:u w:color="auto" w:val="none"/>
            <w:lang w:val="uk-ua" w:eastAsia="uk-ua"/>
          </w:rPr>
          <w:t>Опис господарської та фінансової діяльності</w:t>
        </w:r>
        <w:r>
          <w:tab/>
        </w:r>
        <w:r>
          <w:fldChar w:fldCharType="begin"/>
          <w:instrText xml:space="preserve"> PAGEREF _Toc210041588 \h \* Arabic </w:instrText>
          <w:fldChar w:fldCharType="separate"/>
          <w:t>14</w:t>
          <w:fldChar w:fldCharType="end"/>
        </w:r>
      </w:hyperlink>
    </w:p>
    <w:p>
      <w:pPr>
        <w:pStyle w:val="para17"/>
        <w:tabs defTabSz="708">
          <w:tab w:val="right" w:pos="9912" w:leader="dot"/>
        </w:tabs>
      </w:pPr>
      <w:hyperlink w:anchor="_Toc210041589" w:history="1">
        <w:r>
          <w:rPr>
            <w:rStyle w:val="char19"/>
            <w:rFonts w:ascii="Times New Roman" w:hAnsi="Times New Roman" w:eastAsia="Times New Roman"/>
            <w:b/>
            <w:bCs/>
            <w:color w:val="auto"/>
            <w:kern w:val="0"/>
            <w:u w:color="auto" w:val="none"/>
            <w:lang w:val="uk-ua" w:eastAsia="uk-ua"/>
          </w:rPr>
          <w:t>II. Інформація щодо капіталу та цінних паперів</w:t>
        </w:r>
        <w:r>
          <w:tab/>
        </w:r>
        <w:r>
          <w:fldChar w:fldCharType="begin"/>
          <w:instrText xml:space="preserve"> PAGEREF _Toc210041589 \h \* Arabic </w:instrText>
          <w:fldChar w:fldCharType="separate"/>
          <w:t>24</w:t>
          <w:fldChar w:fldCharType="end"/>
        </w:r>
      </w:hyperlink>
    </w:p>
    <w:p>
      <w:pPr>
        <w:pStyle w:val="para17"/>
        <w:tabs defTabSz="708">
          <w:tab w:val="right" w:pos="9912" w:leader="dot"/>
        </w:tabs>
      </w:pPr>
      <w:hyperlink w:anchor="_Toc210041590" w:history="1">
        <w:r>
          <w:rPr>
            <w:rStyle w:val="char19"/>
            <w:rFonts w:ascii="Times New Roman" w:hAnsi="Times New Roman" w:eastAsia="Times New Roman"/>
            <w:b/>
            <w:bCs/>
            <w:color w:val="auto"/>
            <w:kern w:val="0"/>
            <w:u w:color="auto" w:val="none"/>
            <w:lang w:val="uk-ua" w:eastAsia="uk-ua"/>
          </w:rPr>
          <w:t>1. Структура капіталу</w:t>
        </w:r>
        <w:r>
          <w:tab/>
        </w:r>
        <w:r>
          <w:fldChar w:fldCharType="begin"/>
          <w:instrText xml:space="preserve"> PAGEREF _Toc210041590 \h \* Arabic </w:instrText>
          <w:fldChar w:fldCharType="separate"/>
          <w:t>24</w:t>
          <w:fldChar w:fldCharType="end"/>
        </w:r>
      </w:hyperlink>
    </w:p>
    <w:p>
      <w:pPr>
        <w:pStyle w:val="para17"/>
        <w:tabs defTabSz="708">
          <w:tab w:val="right" w:pos="9912" w:leader="dot"/>
        </w:tabs>
      </w:pPr>
      <w:hyperlink w:anchor="_Toc210041591" w:history="1">
        <w:r>
          <w:rPr>
            <w:rStyle w:val="char19"/>
            <w:rFonts w:ascii="Times New Roman" w:hAnsi="Times New Roman" w:eastAsia="Times New Roman"/>
            <w:b/>
            <w:bCs/>
            <w:color w:val="auto"/>
            <w:kern w:val="0"/>
            <w:u w:color="auto" w:val="none"/>
            <w:lang w:val="uk-ua" w:eastAsia="uk-ua"/>
          </w:rPr>
          <w:t>3. Цінні папери</w:t>
        </w:r>
        <w:r>
          <w:tab/>
        </w:r>
        <w:r>
          <w:fldChar w:fldCharType="begin"/>
          <w:instrText xml:space="preserve"> PAGEREF _Toc210041591 \h \* Arabic </w:instrText>
          <w:fldChar w:fldCharType="separate"/>
          <w:t>28</w:t>
          <w:fldChar w:fldCharType="end"/>
        </w:r>
      </w:hyperlink>
    </w:p>
    <w:p>
      <w:pPr>
        <w:pStyle w:val="para17"/>
        <w:tabs defTabSz="708">
          <w:tab w:val="right" w:pos="9912" w:leader="dot"/>
        </w:tabs>
      </w:pPr>
      <w:hyperlink w:anchor="_Toc210041592" w:history="1">
        <w:r>
          <w:rPr>
            <w:rStyle w:val="char19"/>
            <w:rFonts w:ascii="Times New Roman" w:hAnsi="Times New Roman" w:eastAsia="Times New Roman"/>
            <w:b/>
            <w:bCs/>
            <w:color w:val="auto"/>
            <w:kern w:val="0"/>
            <w:u w:color="auto" w:val="none"/>
            <w:lang w:val="en-us" w:eastAsia="uk-ua"/>
          </w:rPr>
          <w:t xml:space="preserve">III. </w:t>
        </w:r>
        <w:r>
          <w:rPr>
            <w:rStyle w:val="char19"/>
            <w:rFonts w:ascii="Times New Roman" w:hAnsi="Times New Roman" w:eastAsia="Times New Roman"/>
            <w:b/>
            <w:bCs/>
            <w:color w:val="auto"/>
            <w:kern w:val="0"/>
            <w:u w:color="auto" w:val="none"/>
            <w:lang w:val="uk-ua" w:eastAsia="uk-ua"/>
          </w:rPr>
          <w:t>Фінансова інформація</w:t>
        </w:r>
        <w:r>
          <w:tab/>
        </w:r>
        <w:r>
          <w:fldChar w:fldCharType="begin"/>
          <w:instrText xml:space="preserve"> PAGEREF _Toc210041592 \h \* Arabic </w:instrText>
          <w:fldChar w:fldCharType="separate"/>
          <w:t>29</w:t>
          <w:fldChar w:fldCharType="end"/>
        </w:r>
      </w:hyperlink>
    </w:p>
    <w:p>
      <w:pPr>
        <w:pStyle w:val="para17"/>
        <w:tabs defTabSz="708">
          <w:tab w:val="right" w:pos="9912" w:leader="dot"/>
        </w:tabs>
      </w:pPr>
      <w:hyperlink w:anchor="_Toc210041593" w:history="1">
        <w:r>
          <w:rPr>
            <w:rStyle w:val="char19"/>
            <w:rFonts w:ascii="Times New Roman" w:hAnsi="Times New Roman" w:eastAsia="Times New Roman"/>
            <w:b/>
            <w:bCs/>
            <w:color w:val="auto"/>
            <w:kern w:val="0"/>
            <w:u w:color="auto" w:val="none"/>
            <w:lang w:val="uk-ua" w:eastAsia="uk-ua"/>
          </w:rPr>
          <w:t>1. Інформація про розмір доходу за видами діяльності особи</w:t>
        </w:r>
        <w:r>
          <w:tab/>
        </w:r>
        <w:r>
          <w:fldChar w:fldCharType="begin"/>
          <w:instrText xml:space="preserve"> PAGEREF _Toc210041593 \h \* Arabic </w:instrText>
          <w:fldChar w:fldCharType="separate"/>
          <w:t>29</w:t>
          <w:fldChar w:fldCharType="end"/>
        </w:r>
      </w:hyperlink>
    </w:p>
    <w:p>
      <w:pPr>
        <w:pStyle w:val="para17"/>
        <w:tabs defTabSz="708">
          <w:tab w:val="right" w:pos="9912" w:leader="dot"/>
        </w:tabs>
      </w:pPr>
      <w:hyperlink w:anchor="_Toc210041594" w:history="1">
        <w:r>
          <w:rPr>
            <w:rStyle w:val="char19"/>
            <w:rFonts w:ascii="Times New Roman" w:hAnsi="Times New Roman" w:eastAsia="Times New Roman"/>
            <w:b/>
            <w:bCs/>
            <w:color w:val="auto"/>
            <w:kern w:val="0"/>
            <w:u w:color="auto" w:val="none"/>
            <w:lang w:val="en-us" w:eastAsia="uk-ua"/>
          </w:rPr>
          <w:t>4. Твердження щодо річної інформації</w:t>
        </w:r>
        <w:r>
          <w:tab/>
        </w:r>
        <w:r>
          <w:fldChar w:fldCharType="begin"/>
          <w:instrText xml:space="preserve"> PAGEREF _Toc210041594 \h \* Arabic </w:instrText>
          <w:fldChar w:fldCharType="separate"/>
          <w:t>30</w:t>
          <w:fldChar w:fldCharType="end"/>
        </w:r>
      </w:hyperlink>
    </w:p>
    <w:p>
      <w:pPr>
        <w:pStyle w:val="para17"/>
        <w:tabs defTabSz="708">
          <w:tab w:val="right" w:pos="9912" w:leader="dot"/>
        </w:tabs>
      </w:pPr>
      <w:hyperlink w:anchor="_Toc210041595" w:history="1">
        <w:r>
          <w:rPr>
            <w:rStyle w:val="char19"/>
            <w:rFonts w:ascii="Times New Roman" w:hAnsi="Times New Roman" w:eastAsia="Times New Roman"/>
            <w:b/>
            <w:bCs/>
            <w:color w:val="auto"/>
            <w:kern w:val="0"/>
            <w:u w:color="auto" w:val="none"/>
            <w:lang w:val="uk-ua" w:eastAsia="uk-ua"/>
          </w:rPr>
          <w:t>IV. Нефінансова інформація</w:t>
        </w:r>
        <w:r>
          <w:tab/>
        </w:r>
        <w:r>
          <w:fldChar w:fldCharType="begin"/>
          <w:instrText xml:space="preserve"> PAGEREF _Toc210041595 \h \* Arabic </w:instrText>
          <w:fldChar w:fldCharType="separate"/>
          <w:t>30</w:t>
          <w:fldChar w:fldCharType="end"/>
        </w:r>
      </w:hyperlink>
    </w:p>
    <w:p>
      <w:pPr>
        <w:pStyle w:val="para17"/>
        <w:tabs defTabSz="708">
          <w:tab w:val="right" w:pos="9912" w:leader="dot"/>
        </w:tabs>
      </w:pPr>
      <w:hyperlink w:anchor="_Toc210041596" w:history="1">
        <w:r>
          <w:rPr>
            <w:rStyle w:val="char19"/>
            <w:rFonts w:ascii="Times New Roman" w:hAnsi="Times New Roman" w:eastAsia="Times New Roman"/>
            <w:b/>
            <w:bCs/>
            <w:color w:val="auto"/>
            <w:kern w:val="0"/>
            <w:u w:color="auto" w:val="none"/>
            <w:lang w:val="uk-ua" w:eastAsia="uk-ua"/>
          </w:rPr>
          <w:t>1. Звіт керівництва (звіт про управління)</w:t>
        </w:r>
        <w:r>
          <w:tab/>
        </w:r>
        <w:r>
          <w:fldChar w:fldCharType="begin"/>
          <w:instrText xml:space="preserve"> PAGEREF _Toc210041596 \h \* Arabic </w:instrText>
          <w:fldChar w:fldCharType="separate"/>
          <w:t>30</w:t>
          <w:fldChar w:fldCharType="end"/>
        </w:r>
      </w:hyperlink>
    </w:p>
    <w:p>
      <w:pPr>
        <w:pStyle w:val="para17"/>
        <w:tabs defTabSz="708">
          <w:tab w:val="right" w:pos="9912" w:leader="dot"/>
        </w:tabs>
      </w:pPr>
      <w:hyperlink w:anchor="_Toc210041597" w:history="1">
        <w:r>
          <w:rPr>
            <w:rStyle w:val="char19"/>
            <w:rFonts w:ascii="Times New Roman" w:hAnsi="Times New Roman" w:eastAsia="Times New Roman"/>
            <w:b/>
            <w:color w:val="auto"/>
            <w:u w:color="auto" w:val="none"/>
          </w:rPr>
          <w:t>1) звіт про корпоративне управління</w:t>
        </w:r>
        <w:r>
          <w:tab/>
        </w:r>
        <w:r>
          <w:fldChar w:fldCharType="begin"/>
          <w:instrText xml:space="preserve"> PAGEREF _Toc210041597 \h \* Arabic </w:instrText>
          <w:fldChar w:fldCharType="separate"/>
          <w:t>30</w:t>
          <w:fldChar w:fldCharType="end"/>
        </w:r>
      </w:hyperlink>
    </w:p>
    <w:p>
      <w:pPr>
        <w:pStyle w:val="para17"/>
        <w:tabs defTabSz="708">
          <w:tab w:val="right" w:pos="9912" w:leader="dot"/>
        </w:tabs>
      </w:pPr>
      <w:hyperlink w:anchor="_Toc210041598" w:history="1">
        <w:r>
          <w:rPr>
            <w:rStyle w:val="char19"/>
            <w:rFonts w:ascii="Times New Roman" w:hAnsi="Times New Roman" w:eastAsia="Times New Roman"/>
            <w:b/>
            <w:bCs/>
            <w:color w:val="auto"/>
            <w:kern w:val="0"/>
            <w:u w:color="auto" w:val="none"/>
            <w:lang w:val="uk-ua" w:eastAsia="uk-ua"/>
          </w:rPr>
          <w:t>3) інформація щодо наявності у емітента відносин з іноземними державами зони ризику</w:t>
        </w:r>
        <w:r>
          <w:tab/>
        </w:r>
        <w:r>
          <w:fldChar w:fldCharType="begin"/>
          <w:instrText xml:space="preserve"> PAGEREF _Toc210041598 \h \* Arabic </w:instrText>
          <w:fldChar w:fldCharType="separate"/>
          <w:t>51</w:t>
          <w:fldChar w:fldCharType="end"/>
        </w:r>
      </w:hyperlink>
    </w:p>
    <w:p>
      <w:pPr>
        <w:pStyle w:val="para17"/>
        <w:tabs defTabSz="708">
          <w:tab w:val="right" w:pos="9912" w:leader="dot"/>
        </w:tabs>
      </w:pPr>
      <w:hyperlink w:anchor="_Toc210041599" w:history="1">
        <w:r>
          <w:rPr>
            <w:rStyle w:val="char19"/>
            <w:rFonts w:ascii="Times New Roman" w:hAnsi="Times New Roman" w:eastAsia="Times New Roman"/>
            <w:b/>
            <w:bCs/>
            <w:color w:val="auto"/>
            <w:kern w:val="0"/>
            <w:u w:color="auto" w:val="none"/>
            <w:lang w:val="uk-ua" w:eastAsia="uk-ua"/>
          </w:rPr>
          <w:t>5. Перелік посилань на внутрішні документи особи, що розміщені на вебсайті особи</w:t>
        </w:r>
        <w:r>
          <w:tab/>
        </w:r>
        <w:r>
          <w:fldChar w:fldCharType="begin"/>
          <w:instrText xml:space="preserve"> PAGEREF _Toc210041599 \h \* Arabic </w:instrText>
          <w:fldChar w:fldCharType="separate"/>
          <w:t>51</w:t>
          <w:fldChar w:fldCharType="end"/>
        </w:r>
      </w:hyperlink>
    </w:p>
    <w:p>
      <w:pPr>
        <w:pStyle w:val="para17"/>
        <w:tabs defTabSz="708">
          <w:tab w:val="right" w:pos="9912" w:leader="dot"/>
        </w:tabs>
      </w:pPr>
      <w:hyperlink w:anchor="_Toc210041600" w:history="1">
        <w:r>
          <w:rPr>
            <w:rStyle w:val="char19"/>
            <w:rFonts w:ascii="Times New Roman" w:hAnsi="Times New Roman" w:eastAsia="Times New Roman"/>
            <w:b/>
            <w:bCs/>
            <w:color w:val="auto"/>
            <w:kern w:val="0"/>
            <w:u w:color="auto" w:val="none"/>
            <w:lang w:val="uk-ua" w:eastAsia="uk-ua"/>
          </w:rPr>
          <w:t>VI. Список посилань на регульовану інформацію,  яка була розкрита протягом звітного року</w:t>
        </w:r>
        <w:r>
          <w:tab/>
        </w:r>
        <w:r>
          <w:fldChar w:fldCharType="begin"/>
          <w:instrText xml:space="preserve"> PAGEREF _Toc210041600 \h \* Arabic </w:instrText>
          <w:fldChar w:fldCharType="separate"/>
          <w:t>52</w:t>
          <w:fldChar w:fldCharType="end"/>
        </w:r>
      </w:hyperlink>
    </w:p>
    <w:p>
      <w:pPr>
        <w:pStyle w:val="para17"/>
        <w:tabs defTabSz="708">
          <w:tab w:val="right" w:pos="9912" w:leader="dot"/>
        </w:tabs>
      </w:pPr>
      <w:hyperlink w:anchor="_Toc210041601" w:history="1">
        <w:r>
          <w:rPr>
            <w:rStyle w:val="char19"/>
            <w:rFonts w:ascii="Times New Roman" w:hAnsi="Times New Roman" w:eastAsia="Times New Roman"/>
            <w:b/>
            <w:bCs/>
            <w:color w:val="auto"/>
            <w:kern w:val="0"/>
            <w:u w:color="auto" w:val="none"/>
            <w:lang w:val="uk-ua" w:eastAsia="uk-ua"/>
          </w:rPr>
          <w:t>1. Проміжна інформація</w:t>
        </w:r>
        <w:r>
          <w:tab/>
        </w:r>
        <w:r>
          <w:fldChar w:fldCharType="begin"/>
          <w:instrText xml:space="preserve"> PAGEREF _Toc210041601 \h \* Arabic </w:instrText>
          <w:fldChar w:fldCharType="separate"/>
          <w:t>52</w:t>
          <w:fldChar w:fldCharType="end"/>
        </w:r>
      </w:hyperlink>
    </w:p>
    <w:p>
      <w:pPr>
        <w:pStyle w:val="para17"/>
        <w:tabs defTabSz="708">
          <w:tab w:val="right" w:pos="9912" w:leader="dot"/>
        </w:tabs>
      </w:pPr>
      <w:hyperlink w:anchor="_Toc210041602" w:history="1">
        <w:r>
          <w:rPr>
            <w:rStyle w:val="char19"/>
            <w:rFonts w:ascii="Times New Roman" w:hAnsi="Times New Roman" w:eastAsia="Times New Roman"/>
            <w:b/>
            <w:bCs/>
            <w:color w:val="auto"/>
            <w:kern w:val="0"/>
            <w:u w:color="auto" w:val="none"/>
            <w:lang w:val="uk-ua" w:eastAsia="uk-ua"/>
          </w:rPr>
          <w:t>2. Особлива інформація</w:t>
        </w:r>
        <w:r>
          <w:tab/>
        </w:r>
        <w:r>
          <w:fldChar w:fldCharType="begin"/>
          <w:instrText xml:space="preserve"> PAGEREF _Toc210041602 \h \* Arabic </w:instrText>
          <w:fldChar w:fldCharType="separate"/>
          <w:t>52</w:t>
          <w:fldChar w:fldCharType="end"/>
        </w:r>
      </w:hyperlink>
    </w:p>
    <w:p>
      <w:pPr>
        <w:pStyle w:val="para17"/>
        <w:tabs defTabSz="708">
          <w:tab w:val="right" w:pos="9912" w:leader="dot"/>
        </w:tabs>
      </w:pPr>
      <w:hyperlink w:anchor="_Toc210041603" w:history="1">
        <w:r>
          <w:rPr>
            <w:rStyle w:val="char19"/>
            <w:rFonts w:ascii="Times New Roman" w:hAnsi="Times New Roman" w:eastAsia="Times New Roman"/>
            <w:b/>
            <w:bCs/>
            <w:color w:val="auto"/>
            <w:kern w:val="0"/>
            <w:u w:color="auto" w:val="none"/>
            <w:lang w:val="uk-ua" w:eastAsia="uk-ua"/>
          </w:rPr>
          <w:t>3. Інша інформація</w:t>
        </w:r>
        <w:r>
          <w:tab/>
        </w:r>
        <w:r>
          <w:fldChar w:fldCharType="begin"/>
          <w:instrText xml:space="preserve"> PAGEREF _Toc210041603 \h \* Arabic </w:instrText>
          <w:fldChar w:fldCharType="separate"/>
          <w:t>53</w:t>
          <w:fldChar w:fldCharType="end"/>
        </w:r>
      </w:hyperlink>
    </w:p>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fldChar w:fldCharType="end"/>
      </w:r>
      <w:r>
        <w:rPr>
          <w:rFonts w:ascii="Times New Roman" w:hAnsi="Times New Roman" w:eastAsia="Times New Roman"/>
          <w:sz w:val="20"/>
          <w:szCs w:val="20"/>
          <w:lang w:val="en-us" w:eastAsia="uk-ua"/>
        </w:rPr>
      </w:r>
    </w:p>
    <w:p>
      <w:pPr>
        <w:spacing w:before="240" w:after="60" w:line="240" w:lineRule="auto"/>
        <w:jc w:val="center"/>
        <w:outlineLvl w:val="0"/>
        <w:rPr>
          <w:rFonts w:ascii="Times New Roman" w:hAnsi="Times New Roman" w:eastAsia="Times New Roman"/>
          <w:b/>
          <w:bCs/>
          <w:sz w:val="28"/>
          <w:szCs w:val="28"/>
          <w:lang w:val="uk-ua" w:eastAsia="uk-ua"/>
        </w:rPr>
      </w:pPr>
      <w:r/>
      <w:bookmarkStart w:id="0" w:name="_Toc210041584"/>
      <w:r/>
      <w:r>
        <w:rPr>
          <w:rFonts w:ascii="Times New Roman" w:hAnsi="Times New Roman" w:eastAsia="Times New Roman"/>
          <w:b/>
          <w:bCs/>
          <w:sz w:val="28"/>
          <w:szCs w:val="28"/>
          <w:lang w:val="uk-ua" w:eastAsia="uk-ua"/>
        </w:rPr>
        <w:t>I. Загальна інформація</w:t>
      </w:r>
      <w:r/>
      <w:bookmarkEnd w:id="0"/>
      <w:r/>
      <w:r>
        <w:rPr>
          <w:rFonts w:ascii="Times New Roman" w:hAnsi="Times New Roman" w:eastAsia="Times New Roman"/>
          <w:b/>
          <w:bCs/>
          <w:sz w:val="28"/>
          <w:szCs w:val="28"/>
          <w:lang w:val="uk-ua"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1" w:name="_Toc210041585"/>
      <w:r/>
      <w:r>
        <w:rPr>
          <w:rFonts w:ascii="Times New Roman" w:hAnsi="Times New Roman" w:eastAsia="Times New Roman"/>
          <w:b/>
          <w:bCs/>
          <w:kern w:val="0"/>
          <w:sz w:val="26"/>
          <w:szCs w:val="26"/>
          <w:lang w:val="uk-ua" w:eastAsia="uk-ua"/>
        </w:rPr>
        <w:t>1. Ідентифікаційні дані та загальна інформація</w:t>
      </w:r>
      <w:r/>
      <w:bookmarkEnd w:id="1"/>
      <w:r/>
      <w:r>
        <w:rPr>
          <w:rFonts w:ascii="Times New Roman" w:hAnsi="Times New Roman" w:eastAsia="Times New Roman"/>
          <w:b/>
          <w:bCs/>
          <w:kern w:val="0"/>
          <w:sz w:val="26"/>
          <w:szCs w:val="26"/>
          <w:lang w:val="uk-ua" w:eastAsia="uk-ua"/>
        </w:rPr>
      </w:r>
    </w:p>
    <w:tbl>
      <w:tblPr>
        <w:tblStyle w:val="NormalTable"/>
        <w:name w:val="Таблица4"/>
        <w:tabOrder w:val="0"/>
        <w:jc w:val="left"/>
        <w:tblInd w:w="0" w:type="dxa"/>
        <w:tblW w:w="9922" w:type="dxa"/>
        <w:tblLook w:val="01E0" w:firstRow="1" w:lastRow="1" w:firstColumn="1" w:lastColumn="1" w:noHBand="0" w:noVBand="0"/>
      </w:tblPr>
      <w:tblGrid>
        <w:gridCol w:w="532"/>
        <w:gridCol w:w="4379"/>
        <w:gridCol w:w="468"/>
        <w:gridCol w:w="4543"/>
      </w:tblGrid>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Повне найменування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 xml:space="preserve"> </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eastAsia="uk-ua"/>
              </w:rPr>
              <w:t>Скорочене найменування (за наявності).</w:t>
            </w:r>
            <w:r>
              <w:rPr>
                <w:rFonts w:ascii="Times New Roman" w:hAnsi="Times New Roman" w:eastAsia="Times New Roman"/>
                <w:b/>
                <w:sz w:val="20"/>
                <w:szCs w:val="20"/>
                <w:lang w:val="uk-ua" w:eastAsia="uk-ua"/>
              </w:rPr>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ПРАТ "Макіївський завод "ФАКЕЛ"</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Ідентифікаційний код юридичної особи</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Дата державної реєстрації</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16.08.1994</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5</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Місцезнаходження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01014 УКРАЇНА  Печерський район                                                                                     м.Київ                                                                                               вул.Звiринецька, буд.63</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6</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для листування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01014, УКРАЇНА, Печерський район, м.Київ, вул.Звiринецька, буд.63</w:t>
            </w:r>
          </w:p>
        </w:tc>
      </w:tr>
      <w:tr>
        <w:trPr>
          <w:cantSplit w:val="0"/>
          <w:trHeight w:val="195"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7</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яка розкриває інформацію</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3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Емітент</w:t>
            </w:r>
          </w:p>
        </w:tc>
      </w:tr>
      <w:tr>
        <w:trPr>
          <w:cantSplit w:val="0"/>
          <w:trHeight w:val="195"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3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Особа, яка надає забезпечення</w:t>
            </w:r>
          </w:p>
        </w:tc>
      </w:tr>
      <w:tr>
        <w:trPr>
          <w:cantSplit w:val="0"/>
          <w:trHeight w:val="240"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8</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має статус підприємства, що становить суспільний інтерес</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Так</w:t>
            </w:r>
          </w:p>
        </w:tc>
      </w:tr>
      <w:tr>
        <w:trPr>
          <w:cantSplit w:val="0"/>
          <w:trHeight w:val="24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Ні</w:t>
            </w:r>
          </w:p>
        </w:tc>
      </w:tr>
      <w:tr>
        <w:trPr>
          <w:cantSplit w:val="0"/>
          <w:trHeight w:val="99"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9</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Категорія підприємства </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Велике</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vAlign w:val="center"/>
            <w:tcBorders>
              <w:top w:val="nil" w:sz="0" w:space="0" w:color="000000" tmln="20,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Середнє</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vAlign w:val="center"/>
            <w:tcBorders>
              <w:top w:val="nil" w:sz="0" w:space="0" w:color="000000" tmln="20,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Мале</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39" protected="0"/>
          </w:tcPr>
          <w:p>
            <w:pPr>
              <w:ind w:left="-140" w:firstLine="140"/>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Мікро</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10</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електронної пошти для офіційного каналу зв’язку</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fakel@pacinsider.com</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11</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вебсайту</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fakel.pat.ua</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12</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Номер телефону </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0968671022</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13</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Статутний капітал (грн.)</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3956600.00</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14</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Відсоток акцій у статутному капіталі, що належать державі</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eastAsia="uk-ua"/>
              </w:rPr>
              <w:t>0.000</w:t>
            </w:r>
            <w:r>
              <w:rPr>
                <w:rFonts w:ascii="Times New Roman" w:hAnsi="Times New Roman" w:eastAsia="Times New Roman"/>
                <w:sz w:val="20"/>
                <w:szCs w:val="20"/>
                <w:lang w:val="en-us"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15</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0.000</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16</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Середня кількість працівників (осіб)</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eastAsia="uk-ua"/>
              </w:rPr>
              <w:t>2</w:t>
            </w:r>
            <w:r>
              <w:rPr>
                <w:rFonts w:ascii="Times New Roman" w:hAnsi="Times New Roman" w:eastAsia="Times New Roman"/>
                <w:sz w:val="20"/>
                <w:szCs w:val="20"/>
                <w:lang w:val="en-us"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17</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167</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18</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Основні види діяльності із зазначенням їх найменування та коду за КВЕД</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28.29"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ВИРОБНИЦТВО ІНШИХ МАШИН І УСТАТКОВАННЯ ЗАГАЛЬНОГО ПРИЗНАЧЕННЯ, Н. В. І. 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46.90"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НЕСПЕЦІАЛІЗОВАНА ОПТОВА ТОРГІВЛЯ"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47.19"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ІНШІ ВИДИ РОЗДРІБНОЇ ТОРГІВЛІ В НЕСПЕЦІАЛІЗОВАНИХ МАГАЗИНАХ"</w:t>
            </w:r>
          </w:p>
        </w:tc>
      </w:tr>
      <w:tr>
        <w:trPr>
          <w:cantSplit w:val="0"/>
          <w:trHeight w:val="130"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19</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Структура управління особою</w:t>
            </w:r>
          </w:p>
        </w:tc>
        <w:tc>
          <w:tcPr>
            <w:tcW w:w="468" w:type="dxa"/>
            <w:tcBorders>
              <w:top w:val="single" w:sz="6" w:space="0" w:color="000000" tmln="15,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Однорівнева</w:t>
            </w:r>
            <w:r>
              <w:rPr>
                <w:rFonts w:ascii="Times New Roman" w:hAnsi="Times New Roman" w:eastAsia="Times New Roman"/>
                <w:sz w:val="20"/>
                <w:szCs w:val="20"/>
                <w:lang w:val="en-us" w:eastAsia="uk-ua"/>
              </w:rPr>
            </w:r>
          </w:p>
        </w:tc>
      </w:tr>
      <w:tr>
        <w:trPr>
          <w:cantSplit w:val="0"/>
          <w:trHeight w:val="13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tcBorders>
              <w:top w:val="nil" w:sz="0" w:space="0" w:color="000000" tmln="20, 20, 20, 0, 0"/>
              <w:left w:val="single" w:sz="6" w:space="0" w:color="000000" tmln="15, 20, 20, 0, 0"/>
              <w:bottom w:val="nil" w:sz="0" w:space="0" w:color="000000" tmln="20,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uk-ua" w:eastAsia="uk-ua"/>
              </w:rPr>
              <w:t>Дворівнева</w:t>
            </w:r>
            <w:r>
              <w:rPr>
                <w:rFonts w:ascii="Times New Roman" w:hAnsi="Times New Roman" w:eastAsia="Times New Roman"/>
                <w:sz w:val="20"/>
                <w:szCs w:val="20"/>
                <w:lang w:eastAsia="uk-ua"/>
              </w:rPr>
            </w:r>
          </w:p>
        </w:tc>
      </w:tr>
      <w:tr>
        <w:trPr>
          <w:cantSplit w:val="0"/>
          <w:trHeight w:val="13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468" w:type="dxa"/>
            <w:tcBorders>
              <w:top w:val="nil" w:sz="0" w:space="0" w:color="000000" tmln="20, 20, 20, 0, 0"/>
              <w:left w:val="single" w:sz="6" w:space="0" w:color="000000" tmln="15, 20, 20, 0, 0"/>
              <w:bottom w:val="single" w:sz="6" w:space="0" w:color="000000" tmln="15, 20, 20, 0, 0"/>
              <w:right w:val="nil" w:sz="0" w:space="0" w:color="000000" tmln="20, 20, 20, 0, 0"/>
            </w:tcBorders>
            <w:tmTcPr id="1759223739"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Інше:</w:t>
            </w:r>
            <w:r>
              <w:rPr>
                <w:rFonts w:ascii="Times New Roman" w:hAnsi="Times New Roman" w:eastAsia="Times New Roman"/>
                <w:sz w:val="20"/>
                <w:szCs w:val="20"/>
                <w:lang w:val="en-us" w:eastAsia="uk-ua"/>
              </w:rPr>
              <w:t xml:space="preserve">  </w:t>
            </w:r>
            <w:r>
              <w:rPr>
                <w:rFonts w:ascii="Times New Roman" w:hAnsi="Times New Roman" w:eastAsia="Times New Roman"/>
                <w:sz w:val="20"/>
                <w:szCs w:val="20"/>
                <w:lang w:val="en-us" w:eastAsia="uk-ua"/>
              </w:rPr>
            </w:r>
          </w:p>
        </w:tc>
      </w:tr>
    </w:tbl>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ind w:left="-426"/>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Банки, що обслуговують особу</w:t>
      </w:r>
    </w:p>
    <w:tbl>
      <w:tblPr>
        <w:tblStyle w:val="NormalTable"/>
        <w:name w:val="Таблица5"/>
        <w:tabOrder w:val="0"/>
        <w:jc w:val="left"/>
        <w:tblInd w:w="-431" w:type="dxa"/>
        <w:tblW w:w="10343" w:type="dxa"/>
        <w:tblLook w:val="0000" w:firstRow="0" w:lastRow="0" w:firstColumn="0" w:lastColumn="0" w:noHBand="0" w:noVBand="0"/>
      </w:tblPr>
      <w:tblGrid>
        <w:gridCol w:w="590"/>
        <w:gridCol w:w="3396"/>
        <w:gridCol w:w="6357"/>
      </w:tblGrid>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UA073348510000026100111236839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UA123348510000000002600483385</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3</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Казначейство України(ел. адм. подат.)</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37567646</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UA458999980385129000000007416</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"Райффайзен Банк"</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14305909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UA493003350000000026004540791</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5</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UA813348510000026009962495760</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6</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UA813348510000026009962495760</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долар</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7</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КРД АТ"РАЙФФАЙЗЕН БАНК"М.КИЇВ</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23494105</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UA883229040000000002600742443</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bl>
    <w:p>
      <w:pPr>
        <w:ind w:left="-426"/>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0"/>
          <w:footerReference w:type="default" r:id="rId11"/>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kern w:val="0"/>
          <w:sz w:val="26"/>
          <w:szCs w:val="26"/>
          <w:lang w:val="uk-ua" w:eastAsia="uk-ua"/>
        </w:rPr>
      </w:pPr>
      <w:r/>
      <w:bookmarkStart w:id="2" w:name="10086"/>
      <w:r/>
      <w:bookmarkStart w:id="3" w:name="_Toc210041586"/>
      <w:r/>
      <w:bookmarkEnd w:id="2"/>
      <w:r/>
      <w:r>
        <w:rPr>
          <w:rFonts w:ascii="Times New Roman" w:hAnsi="Times New Roman" w:eastAsia="Times New Roman"/>
          <w:b/>
          <w:bCs/>
          <w:kern w:val="0"/>
          <w:sz w:val="26"/>
          <w:szCs w:val="26"/>
          <w:lang w:val="uk-ua" w:eastAsia="uk-ua"/>
        </w:rPr>
        <w:t>2. Органи управління та посадові особи. Організаційна структура</w:t>
      </w:r>
      <w:r/>
      <w:bookmarkEnd w:id="3"/>
      <w:r/>
      <w:r>
        <w:rPr>
          <w:rFonts w:ascii="Times New Roman" w:hAnsi="Times New Roman" w:eastAsia="Times New Roman"/>
          <w:b/>
          <w:bCs/>
          <w:kern w:val="0"/>
          <w:sz w:val="26"/>
          <w:szCs w:val="26"/>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Органи управління</w:t>
      </w:r>
    </w:p>
    <w:p>
      <w:pPr>
        <w:spacing w:after="0" w:line="257" w:lineRule="auto"/>
        <w:jc w:val="center"/>
        <w:suppressAutoHyphens/>
        <w:hyphenationLines w:val="0"/>
        <w:widowControl w:val="0"/>
        <w:tabs defTabSz="708">
          <w:tab w:val="right" w:pos="7710" w:leader="none"/>
          <w:tab w:val="right" w:pos="11514" w:leader="none"/>
        </w:tabs>
        <w:rPr>
          <w:rFonts w:ascii="Pragmatica-Book" w:hAnsi="Pragmatica-Book" w:eastAsia="Times New Roman" w:cs="Pragmatica-Book"/>
          <w:vanish w:val="1"/>
          <w:color w:val="000000"/>
          <w:w w:val="90"/>
          <w:sz w:val="8"/>
          <w:szCs w:val="8"/>
          <w:lang w:val="uk-ua" w:eastAsia="uk-ua"/>
        </w:rPr>
      </w:pPr>
      <w:r>
        <w:rPr>
          <w:rFonts w:ascii="Pragmatica-Book" w:hAnsi="Pragmatica-Book" w:eastAsia="Times New Roman" w:cs="Pragmatica-Book"/>
          <w:vanish w:val="1"/>
          <w:color w:val="000000"/>
          <w:w w:val="90"/>
          <w:sz w:val="8"/>
          <w:szCs w:val="8"/>
          <w:lang w:val="uk-ua" w:eastAsia="uk-ua"/>
        </w:rPr>
      </w:r>
    </w:p>
    <w:tbl>
      <w:tblPr>
        <w:tblStyle w:val="NormalTable"/>
        <w:name w:val="Таблица6"/>
        <w:tabOrder w:val="0"/>
        <w:jc w:val="left"/>
        <w:tblInd w:w="582" w:type="dxa"/>
        <w:tblW w:w="15309" w:type="dxa"/>
        <w:tblLook w:val="0000" w:firstRow="0" w:lastRow="0" w:firstColumn="0" w:lastColumn="0" w:noHBand="0" w:noVBand="0"/>
      </w:tblPr>
      <w:tblGrid>
        <w:gridCol w:w="709"/>
        <w:gridCol w:w="5245"/>
        <w:gridCol w:w="2693"/>
        <w:gridCol w:w="6662"/>
      </w:tblGrid>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з/п</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управління (контролю)</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Кількісний склад органу управління (контролю)</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Персональний склад органу управління (контролю)</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1</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2</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3</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4</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1</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Загальні збори Товариства</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val="en-us" w:eastAsia="uk-ua"/>
              </w:rPr>
              <w:t xml:space="preserve">Загальні збори акціонерів можуть приймати рішення з будь-яких питань діяльності Товариства, крім тих, що віднесені до виключної компетенції наглядової ради відповідно до закону або статуту. </w:t>
            </w:r>
            <w:r>
              <w:rPr>
                <w:rFonts w:ascii="Times New Roman" w:hAnsi="Times New Roman" w:eastAsia="Times New Roman"/>
                <w:color w:val="000000"/>
                <w:sz w:val="20"/>
                <w:szCs w:val="20"/>
                <w:lang w:eastAsia="uk-ua"/>
              </w:rPr>
              <w:t>У Зборах мають право брати участь особи, включені до складеного відповідно до законодавства переліку акціонерів, які мають право на таку участь, або їх представники.</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Структура: акціонери</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94 власника акцій Товариства</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2</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Наглядова рада</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Наглядова рада Товариства є органом, що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захист прав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в межах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визначеної чинним законодавством України та Статутом Товариства, контролює та регулює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Товариства.</w:t>
            </w:r>
            <w:r>
              <w:rPr>
                <w:rFonts w:ascii="Times New Roman" w:hAnsi="Times New Roman" w:eastAsia="Times New Roman"/>
                <w:color w:val="000000"/>
                <w:sz w:val="20"/>
                <w:szCs w:val="20"/>
                <w:lang w:eastAsia="uk-ua"/>
              </w:rPr>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Структура Наглядової ради: Голова Наглядової ради, Члени Наглядової ради</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Голова Наглядової ради - Лобов Серг</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кторович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Член Наглядової ради -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ванов Олекс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Миколайович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Член Наглядової ради - Усенко Антон Юр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йович</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3</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Правлiння</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Виконавчим органом Товариства, який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поточною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стю Товариства є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До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ї виконавчого органу належить </w:t>
            </w:r>
            <w:r>
              <w:rPr>
                <w:rFonts w:ascii="Times New Roman" w:hAnsi="Times New Roman" w:eastAsia="Times New Roman"/>
                <w:color w:val="000000"/>
                <w:sz w:val="20"/>
                <w:szCs w:val="20"/>
                <w:lang w:eastAsia="uk-ua"/>
              </w:rPr>
              <w:t>вир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вс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х питань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яльност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кр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м тих,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дно до Статуту Товариства належать до виключної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Наглядової ради.</w:t>
            </w:r>
            <w:r>
              <w:rPr>
                <w:rFonts w:ascii="Times New Roman" w:hAnsi="Times New Roman" w:eastAsia="Times New Roman"/>
                <w:color w:val="000000"/>
                <w:sz w:val="20"/>
                <w:szCs w:val="20"/>
                <w:lang w:eastAsia="uk-ua"/>
              </w:rPr>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Структура Правління: Голова Правління, Члени Правління</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Голова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 Горда Максим Серг</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йович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Член правління - Головний бухгалтер - Демидова Юлія Олександрівна</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4</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Ревізор</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eastAsia="uk-ua"/>
              </w:rPr>
              <w:t>Рев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зор є органом контролю Товариства, що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нагляд за 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нансово-господарською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стю </w:t>
            </w:r>
            <w:r>
              <w:rPr>
                <w:rFonts w:ascii="Times New Roman" w:hAnsi="Times New Roman" w:eastAsia="Times New Roman"/>
                <w:color w:val="000000"/>
                <w:sz w:val="20"/>
                <w:szCs w:val="20"/>
                <w:lang w:val="en-us" w:eastAsia="uk-ua"/>
              </w:rPr>
              <w:t>Товариства.</w:t>
            </w:r>
            <w:r>
              <w:rPr>
                <w:rFonts w:ascii="Times New Roman" w:hAnsi="Times New Roman" w:eastAsia="Times New Roman"/>
                <w:color w:val="000000"/>
                <w:sz w:val="20"/>
                <w:szCs w:val="20"/>
                <w:lang w:val="en-us" w:eastAsia="uk-ua"/>
              </w:rPr>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Ревізор - Кононенко Наталiя Анатолiївна</w:t>
            </w:r>
          </w:p>
        </w:tc>
      </w:tr>
    </w:tbl>
    <w:p>
      <w:pPr>
        <w:ind w:right="173"/>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57"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Інформація щодо посадових осіб</w:t>
      </w:r>
    </w:p>
    <w:p>
      <w:pPr>
        <w:ind w:left="142"/>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Рада ( за наявності )</w:t>
      </w:r>
    </w:p>
    <w:tbl>
      <w:tblPr>
        <w:tblStyle w:val="NormalTable"/>
        <w:name w:val="Таблица7"/>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Голова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Лобов Сергiй Вiкторович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1980</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Вища, Донецький </w:t>
            </w:r>
            <w:r>
              <w:rPr>
                <w:rFonts w:ascii="Times New Roman" w:hAnsi="Times New Roman" w:eastAsia="Times New Roman"/>
                <w:bCs/>
                <w:sz w:val="20"/>
                <w:szCs w:val="20"/>
                <w:lang w:val="en-us" w:eastAsia="uk-ua"/>
              </w:rPr>
              <w:t>i</w:t>
            </w:r>
            <w:r>
              <w:rPr>
                <w:rFonts w:ascii="Times New Roman" w:hAnsi="Times New Roman" w:eastAsia="Times New Roman"/>
                <w:bCs/>
                <w:sz w:val="20"/>
                <w:szCs w:val="20"/>
                <w:lang w:eastAsia="uk-ua"/>
              </w:rPr>
              <w:t>нститут внутр</w:t>
            </w:r>
            <w:r>
              <w:rPr>
                <w:rFonts w:ascii="Times New Roman" w:hAnsi="Times New Roman" w:eastAsia="Times New Roman"/>
                <w:bCs/>
                <w:sz w:val="20"/>
                <w:szCs w:val="20"/>
                <w:lang w:val="en-us" w:eastAsia="uk-ua"/>
              </w:rPr>
              <w:t>i</w:t>
            </w:r>
            <w:r>
              <w:rPr>
                <w:rFonts w:ascii="Times New Roman" w:hAnsi="Times New Roman" w:eastAsia="Times New Roman"/>
                <w:bCs/>
                <w:sz w:val="20"/>
                <w:szCs w:val="20"/>
                <w:lang w:eastAsia="uk-ua"/>
              </w:rPr>
              <w:t>шн</w:t>
            </w:r>
            <w:r>
              <w:rPr>
                <w:rFonts w:ascii="Times New Roman" w:hAnsi="Times New Roman" w:eastAsia="Times New Roman"/>
                <w:bCs/>
                <w:sz w:val="20"/>
                <w:szCs w:val="20"/>
                <w:lang w:val="en-us" w:eastAsia="uk-ua"/>
              </w:rPr>
              <w:t>i</w:t>
            </w:r>
            <w:r>
              <w:rPr>
                <w:rFonts w:ascii="Times New Roman" w:hAnsi="Times New Roman" w:eastAsia="Times New Roman"/>
                <w:bCs/>
                <w:sz w:val="20"/>
                <w:szCs w:val="20"/>
                <w:lang w:eastAsia="uk-ua"/>
              </w:rPr>
              <w:t>х справ, спец</w:t>
            </w:r>
            <w:r>
              <w:rPr>
                <w:rFonts w:ascii="Times New Roman" w:hAnsi="Times New Roman" w:eastAsia="Times New Roman"/>
                <w:bCs/>
                <w:sz w:val="20"/>
                <w:szCs w:val="20"/>
                <w:lang w:val="en-us" w:eastAsia="uk-ua"/>
              </w:rPr>
              <w:t>i</w:t>
            </w:r>
            <w:r>
              <w:rPr>
                <w:rFonts w:ascii="Times New Roman" w:hAnsi="Times New Roman" w:eastAsia="Times New Roman"/>
                <w:bCs/>
                <w:sz w:val="20"/>
                <w:szCs w:val="20"/>
                <w:lang w:eastAsia="uk-ua"/>
              </w:rPr>
              <w:t>альн</w:t>
            </w:r>
            <w:r>
              <w:rPr>
                <w:rFonts w:ascii="Times New Roman" w:hAnsi="Times New Roman" w:eastAsia="Times New Roman"/>
                <w:bCs/>
                <w:sz w:val="20"/>
                <w:szCs w:val="20"/>
                <w:lang w:val="en-us" w:eastAsia="uk-ua"/>
              </w:rPr>
              <w:t>i</w:t>
            </w:r>
            <w:r>
              <w:rPr>
                <w:rFonts w:ascii="Times New Roman" w:hAnsi="Times New Roman" w:eastAsia="Times New Roman"/>
                <w:bCs/>
                <w:sz w:val="20"/>
                <w:szCs w:val="20"/>
                <w:lang w:eastAsia="uk-ua"/>
              </w:rPr>
              <w:t xml:space="preserve">сть "Юрист"                                                                                                                                                                                              </w:t>
            </w:r>
            <w:r>
              <w:rPr>
                <w:rFonts w:ascii="Times New Roman" w:hAnsi="Times New Roman" w:eastAsia="Times New Roman"/>
                <w:bCs/>
                <w:sz w:val="20"/>
                <w:szCs w:val="20"/>
                <w:lang w:eastAsia="uk-ua"/>
              </w:rPr>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ТОВ "Гранд"</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23425825</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директор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11.04.2017</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 років</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Iванов Олексiй Миколайович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1979</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Вища, НИГА, спеціальність "радіотехнік"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ДЕРЖАВНА НАУКОВА УСТАНОВА "НАУКОВО-ПРАКТИЧНИЙ ЦЕНТР ПРОФІЛАКТИЧНОЇ ТА КЛІНІЧНОЇ МЕДИЦИНИ" ДЕРЖАВНОГО УПРАВЛІННЯ СПРАВАМИ</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05415786</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iнженер-технолог господарського вiддiлу</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11.04.2017</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 років</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Усенко Антон Юрiйович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1988</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Вища, Межрегіональна Академія Управління Персоналом, спеціальність "Банківська справа"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17</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ТОВ "Золотий Терікон"</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32274428</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адміністратор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11.04.2017</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 років</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bl>
    <w:p>
      <w:pPr>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ind w:left="142"/>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Виконавчий орган</w:t>
      </w:r>
    </w:p>
    <w:tbl>
      <w:tblPr>
        <w:tblStyle w:val="NormalTable"/>
        <w:name w:val="Таблица8"/>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Голова правління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Горда Максим Сергійович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1985</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Донецький державний університет управління, спеціальність "Менеджмент зовнішньоекономічної діяльності"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ФОП Павлюк С.В.</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менеджер роздрібної торгівлі</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10.11.2016</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Безстроково</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правління-Головний бухгалтер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Демидовап Юлія Олександрівна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1978</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Вища, ДонНУ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13</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ТОВ "ДВК"</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40753113</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Директор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18.05.2020</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Безстроково</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ind w:left="142"/>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lang w:val="uk-ua" w:eastAsia="uk-ua"/>
        </w:rPr>
      </w:pPr>
      <w:r>
        <w:rPr>
          <w:rFonts w:ascii="Times New Roman" w:hAnsi="Times New Roman" w:eastAsia="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Style w:val="NormalTable"/>
        <w:name w:val="Таблица9"/>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Ревізор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Кононенко Наталія Анатоліївна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1982</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Вища. Донецький Національний Університет. Спеціальність "Бухгалтерський облік та аудит"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ТОВ "Фінансова група "ЮАПЕЙ"</w:t>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39407959</w:t>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аудитор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pacing w:before="57"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щодо володіння посадовими особами акціями особи</w:t>
      </w:r>
    </w:p>
    <w:p>
      <w:pPr>
        <w:spacing w:before="57"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8"/>
          <w:szCs w:val="8"/>
          <w:lang w:val="uk-ua" w:eastAsia="uk-ua"/>
        </w:rPr>
      </w:pPr>
      <w:r>
        <w:rPr>
          <w:rFonts w:ascii="Times New Roman" w:hAnsi="Times New Roman" w:eastAsia="Times New Roman"/>
          <w:b/>
          <w:color w:val="000000"/>
          <w:sz w:val="8"/>
          <w:szCs w:val="8"/>
          <w:lang w:val="uk-ua" w:eastAsia="uk-ua"/>
        </w:rPr>
      </w:r>
    </w:p>
    <w:tbl>
      <w:tblPr>
        <w:tblStyle w:val="NormalTable"/>
        <w:name w:val="Таблица10"/>
        <w:tabOrder w:val="0"/>
        <w:jc w:val="left"/>
        <w:tblInd w:w="0" w:type="dxa"/>
        <w:tblW w:w="16236" w:type="dxa"/>
        <w:tblLook w:val="0000" w:firstRow="0" w:lastRow="0" w:firstColumn="0" w:lastColumn="0" w:noHBand="0" w:noVBand="0"/>
      </w:tblPr>
      <w:tblGrid>
        <w:gridCol w:w="498"/>
        <w:gridCol w:w="2778"/>
        <w:gridCol w:w="3543"/>
        <w:gridCol w:w="1275"/>
        <w:gridCol w:w="1702"/>
        <w:gridCol w:w="1559"/>
        <w:gridCol w:w="1600"/>
        <w:gridCol w:w="1532"/>
        <w:gridCol w:w="1749"/>
      </w:tblGrid>
      <w:tr>
        <w:trPr>
          <w:cantSplit w:val="0"/>
          <w:trHeight w:val="20" w:hRule="atLeast"/>
        </w:trPr>
        <w:tc>
          <w:tcPr>
            <w:tcW w:w="498"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 з/п</w:t>
            </w:r>
            <w:r>
              <w:rPr>
                <w:rFonts w:ascii="Times New Roman" w:hAnsi="Times New Roman" w:eastAsia="Times New Roman"/>
                <w:b/>
                <w:bCs/>
                <w:sz w:val="20"/>
                <w:szCs w:val="20"/>
                <w:lang w:val="uk-ua" w:eastAsia="uk-ua"/>
              </w:rPr>
            </w:r>
          </w:p>
        </w:tc>
        <w:tc>
          <w:tcPr>
            <w:tcW w:w="2778"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3543"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bookmarkStart w:id="4" w:name="10109"/>
            <w:r/>
            <w:bookmarkEnd w:id="4"/>
            <w:r/>
            <w:r>
              <w:rPr>
                <w:rFonts w:ascii="Times New Roman" w:hAnsi="Times New Roman" w:eastAsia="Times New Roman"/>
                <w:b/>
                <w:bCs/>
                <w:sz w:val="20"/>
                <w:szCs w:val="20"/>
                <w:lang w:val="uk-ua" w:eastAsia="uk-ua"/>
              </w:rPr>
            </w:r>
          </w:p>
        </w:tc>
        <w:tc>
          <w:tcPr>
            <w:tcW w:w="1275"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3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702"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1559"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акцій (штук)</w:t>
            </w:r>
          </w:p>
        </w:tc>
        <w:tc>
          <w:tcPr>
            <w:tcW w:w="1600"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 загальної кількості акцій (у відсотках)</w:t>
            </w:r>
          </w:p>
        </w:tc>
        <w:tc>
          <w:tcPr>
            <w:tcW w:w="3281" w:type="dxa"/>
            <w:gridSpan w:val="2"/>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за видами акцій</w:t>
            </w:r>
          </w:p>
        </w:tc>
      </w:tr>
      <w:tr>
        <w:trPr>
          <w:cantSplit w:val="0"/>
          <w:trHeight w:val="0" w:hRule="auto"/>
        </w:trPr>
        <w:tc>
          <w:tcPr>
            <w:tcW w:w="498" w:type="dxa"/>
            <w:vMerge/>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2778"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3543"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1275"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1702"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1559"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1600"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прості іменні</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243"/>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Привілейовані</w:t>
            </w:r>
            <w:r>
              <w:rPr>
                <w:rFonts w:ascii="Times New Roman" w:hAnsi="Times New Roman" w:eastAsia="Times New Roman"/>
                <w:b/>
                <w:bCs/>
                <w:sz w:val="20"/>
                <w:szCs w:val="20"/>
                <w:lang w:val="en-us" w:eastAsia="uk-ua"/>
              </w:rPr>
            </w:r>
          </w:p>
          <w:p>
            <w:pPr>
              <w:ind w:left="-243"/>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іменні</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Голова правлiння</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Горда Максим Сергiйович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правління - Головний бухгалтер</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Демидова Юлія Олександрівна</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Голова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Лобов Сергiй Вiкторович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4</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Iванов Олексiй Миколайович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Усенко Антон Юрiйович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6</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Ревізор</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Кононенко Наталiя Анатолiївна</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bl>
    <w:p>
      <w:pPr>
        <w:ind w:left="-709"/>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left="-567"/>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Організаційна структура:</w:t>
      </w:r>
    </w:p>
    <w:p>
      <w:pPr>
        <w:ind w:left="-567"/>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0"/>
          <w:szCs w:val="20"/>
          <w:lang w:eastAsia="uk-ua"/>
        </w:rPr>
      </w:pPr>
      <w:r>
        <w:rPr>
          <w:rFonts w:ascii="Times New Roman" w:hAnsi="Times New Roman" w:eastAsia="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Pr>
          <w:rFonts w:ascii="Times New Roman" w:hAnsi="Times New Roman" w:eastAsia="Times New Roman"/>
          <w:color w:val="000000"/>
          <w:sz w:val="20"/>
          <w:szCs w:val="20"/>
          <w:lang w:eastAsia="uk-ua"/>
        </w:rPr>
        <w:t>:</w:t>
      </w:r>
      <w:r>
        <w:rPr>
          <w:rFonts w:ascii="Times New Roman" w:hAnsi="Times New Roman" w:eastAsia="Times New Roman"/>
          <w:b/>
          <w:bCs/>
          <w:color w:val="000000"/>
          <w:sz w:val="20"/>
          <w:szCs w:val="20"/>
          <w:lang w:eastAsia="uk-ua"/>
        </w:rPr>
      </w:r>
    </w:p>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https</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Організаційна структура ПРАТ "Макіївський завод "Факел" ЄДРПОУ 05781213</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Структура управління - дворівнева (станом на 31.12.2021 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ЗАГАЛЬНІ ЗБОРИ АКЦІОНЕРІВ (94 акціонери)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НАГЛЯДОВА РАДА: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Голова Наглядової ради: Лобов Сергій Вікторович,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наглядової ради: Іванов Олексій Миколайович та Усенко Антон Юрійович</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ПРАВЛІННЯ: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Голова правління: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Горда Максим Сергійович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Члени правління: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Демідова Юлія Олександрівна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5" w:name="_Toc210041587"/>
      <w:r/>
      <w:r>
        <w:rPr>
          <w:rFonts w:ascii="Times New Roman" w:hAnsi="Times New Roman" w:eastAsia="Times New Roman"/>
          <w:b/>
          <w:bCs/>
          <w:kern w:val="0"/>
          <w:sz w:val="26"/>
          <w:szCs w:val="26"/>
          <w:lang w:eastAsia="uk-ua"/>
        </w:rPr>
        <w:t xml:space="preserve">3. </w:t>
      </w:r>
      <w:r>
        <w:rPr>
          <w:rFonts w:ascii="Times New Roman" w:hAnsi="Times New Roman" w:eastAsia="Times New Roman"/>
          <w:b/>
          <w:bCs/>
          <w:kern w:val="0"/>
          <w:sz w:val="26"/>
          <w:szCs w:val="26"/>
          <w:lang w:val="uk-ua" w:eastAsia="uk-ua"/>
        </w:rPr>
        <w:t>Структура власності</w:t>
      </w:r>
      <w:r/>
      <w:bookmarkEnd w:id="5"/>
      <w:r/>
      <w:r>
        <w:rPr>
          <w:rFonts w:ascii="Times New Roman" w:hAnsi="Times New Roman" w:eastAsia="Times New Roman"/>
          <w:b/>
          <w:bCs/>
          <w:kern w:val="0"/>
          <w:sz w:val="26"/>
          <w:szCs w:val="26"/>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uk-ua" w:eastAsia="uk-ua"/>
        </w:rPr>
        <w:t>URL-адреса вебсайту особи, за якою розміщена структура власності особи у схематичному зображенні</w:t>
      </w: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https</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6" w:name="_Toc210041588"/>
      <w:r/>
      <w:r>
        <w:rPr>
          <w:rFonts w:ascii="Times New Roman" w:hAnsi="Times New Roman" w:eastAsia="Times New Roman"/>
          <w:b/>
          <w:bCs/>
          <w:kern w:val="0"/>
          <w:sz w:val="26"/>
          <w:szCs w:val="26"/>
          <w:lang w:eastAsia="uk-ua"/>
        </w:rPr>
        <w:t xml:space="preserve">4. </w:t>
      </w:r>
      <w:r>
        <w:rPr>
          <w:rFonts w:ascii="Times New Roman" w:hAnsi="Times New Roman" w:eastAsia="Times New Roman"/>
          <w:b/>
          <w:bCs/>
          <w:kern w:val="0"/>
          <w:sz w:val="26"/>
          <w:szCs w:val="26"/>
          <w:lang w:val="uk-ua" w:eastAsia="uk-ua"/>
        </w:rPr>
        <w:t>Опис господарської та фінансової діяльності</w:t>
      </w:r>
      <w:r/>
      <w:bookmarkEnd w:id="6"/>
      <w:r/>
      <w:r>
        <w:rPr>
          <w:rFonts w:ascii="Times New Roman" w:hAnsi="Times New Roman" w:eastAsia="Times New Roman"/>
          <w:b/>
          <w:bCs/>
          <w:kern w:val="0"/>
          <w:sz w:val="26"/>
          <w:szCs w:val="26"/>
          <w:lang w:val="uk-ua" w:eastAsia="uk-ua"/>
        </w:rPr>
      </w:r>
    </w:p>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належить до будь-яких об'єднань підприємств.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проводить спільну діяльність з іншими організаціями, підприємствами, установами.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Організація бухгалтерського обліку ПРАТ "МАКІЇВСЬКИЙ ЗАВОД "ФАКЕЛ" відповідає основним вимогам Закону України "Про бухгалтерський облік та фінансову звітність в Україні" від 16.07.1999 №996-</w:t>
      </w:r>
      <w:r>
        <w:rPr>
          <w:rFonts w:ascii="Times New Roman" w:hAnsi="Times New Roman" w:eastAsia="Times New Roman"/>
          <w:sz w:val="20"/>
          <w:szCs w:val="20"/>
          <w:lang w:val="en-us" w:eastAsia="uk-ua"/>
        </w:rPr>
        <w:t>XIV</w:t>
      </w:r>
      <w:r>
        <w:rPr>
          <w:rFonts w:ascii="Times New Roman" w:hAnsi="Times New Roman" w:eastAsia="Times New Roman"/>
          <w:sz w:val="20"/>
          <w:szCs w:val="20"/>
          <w:lang w:eastAsia="uk-ua"/>
        </w:rPr>
        <w:t>.</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Відповідно до Наказу про облікову політику на підприємстві №1 від 03.01.2018р. ведення бухгалтерського обліку базується на на таких основних засадах: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1.Бухгалтерський облік на підприємстві проводити із застосуванням комп'ютерної бухгалтерської програми 1С Бухгалтерія.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Відповідальність за рівень відповідності реєстрів обліку, порядку й способу реєстрації й узагальнення інформації, передбачених цією комп'ютерною програмою, вимогам законодавства, покладається на головного бухгалтера підприємства.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2.Затвердити перелік первинних документів, які застосовуються підприємством у практичній діяльності й офіційно затверджені відповідними державними органами у додатку до цього наказу.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3.Затвердити форми первинних облікових документів (зведених первинних документів), які застосовуються підприємством у практичній діяльності, але не затверджені відповідними органами у додатку до цього наказу.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4.До бланків суворої звітності відносити: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Навести перелік бланків суворої звітності, які використовую підприємство відповідно до постанови КМУ №283 від 19.04.1993р.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4.1.Затвердити перелік посадових осіб, які використовують бланки суворої звітності у своїй роботі.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4.2.Затвердити право підпису довіреностей на отримання товарно-матеріальних цінностей, укладання угод директору підприємства Горда М.С.</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5.Згідно з пунктом 1.3 Положення про документальне забезпечення записів у бухгалтерському обліку, яке затверджене наказом Міністерства фінансів України 24.05.95р. за №88, всі первинні документи, облікові реєстри, фінансова, статистична та інша звітність складаються українською мовою. Документи, що є підставою для записів у бухгалтерському обліку і складені іноземною мовою, повинні мати узгоджений автентичний переклад українською мовою, відповідно до вимог статті 11 Закону України "Про мови в Українській РСР".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6.Установити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7.Затвердити розроблений на підставі Плану рахунків бухгалтерського обліку активів, капіталу, зобов'язань і господарських операцій підприємств і організацій (див.наказ МФ України №291 від 21.12.99р.) робочий план рахунків із використанням рахунків першого, другого та третього порядку. Підприємство застосовує 8 і 9 клас Плану рахунків бухгалтерського обліку.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8.З метою забезпечення достовірності даних бухгалтерського обліку й звітності проводити інвентаризацію активів і зобов'язань, відповідно до статті 10 Закону про бух облік та інших нормативних документів: точний час і порядок її проведення, відповідальні особи визначаються керівником підприємства окремим письмовим розпорядженням (наказом) керівника.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Принципи і методи відображення в бухгалтерському обліку окремих активів і господарських операцій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 Основні засоби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7 "Основні засоби" підприємством обрано метод (методи) нарахування амортизації основних засобів - зменшення залишкової вартості.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Вартісна ознака предметів, що відносяться до малоцінних необоротних матеріальних активів прийнята в розмірі до 2500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Амортизацію за МНМА нараховувати у першому місяці використання об'єкта в розмірі 100 відсотків його вартості.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Первісна (переоцінена) вартість основних засобів збільшується на суму витрат, пов'язаних з поліпшенням та ремонтом об'єкта, визначену у порядку, встановленому податковим законодавством.</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Нематеріальні активи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 Запаси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Первинна вартість запасів визначається відповідно до Положення (стандарту) бухгалтерського обліку 9 "Запаси".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При відпуску запасів у виробництво, з виробництва, продаж та іншому вибутті, оцінка їх здійснюється за одним з таких методів: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собівартості перших за часом надходження запасів (ФІФО) або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нормативних затрат або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ціни продажу.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Організувати аналітичний облік руху товарно-матеріальних цінностей таким чином за підрозділами: в бухгалтерії - у кількісно-сумовому вимірі, на складах - у кількісному вираженні.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та відповідними особами протягом строку їх фактичного використання.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 Дебіторська заборгованість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сумнівних боргів.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 Зобов'язання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11 "Зобов'язання" зобов'язання визнається, якщо його оцінка може бути достовірно визначена та існує ймовірність зменшення економічних вигоди у майбутньому внаслідок його погашення. Поточні зобов'язання відображаються за сумою погашення.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 Дохід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Дохід визнається і оцінюється відповідно до вимог Положення (стандарту) бухгалтерського обліку 15 "Дохід".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7.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16 "Витрати" витрати відображаються в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виробничої собівартості продукції включати: прямі витрати, загальновиробничі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собівартості реалізованої продукції включаються: виробнича собівартість продукції, яка була реалізована у звітному періоді; нерозподілені постійні загальновиробничі витрати; наднормативні виробничі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Витрати, пов'язані з операційною діяльністю, які не включаються до собівартості реалізованої продукції (адміністративні витрати, витрати на збут та ін.),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складу витрат майбутніх періодів включаються витрати, які здійснені у звітному періоді, але не підлягають віднесенню до витрат в майбутніх звітних періодах.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Фінансова діяльність товариства ґрунтується на чинному законодавстві України. Форма господарювання - господарський розрахунок. Позикові кошти банків для поповнення обігових коштів не залучаються. Товариство фінансує свою діяльність за рахунок власних обігових коштів.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здійснює політику в області досліджень та розробок</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виготовляє порошкові вогнегасники ВП-8  та ВВШ-9. Ці вогнегасники мають високу ефективність при використання на пожежах. Їх позитивною особливістю, що відрізняє від інших моделей, є можливість гасити пожежі на промислових об'єктах та обладнання з високою напругою до 1140В. Вироби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скробезпечн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можуть використовуватись на вугледобувних підприємствах (шахтах) та у інших галузях промисловості. Конструкції вогнегасників запатентовані та сертифіковані в системі УкрСЕПРО. Порівняно з 2021 роком  виробництво вогнегасника ВП-8 у звітному році зменшилось та склало 2006 шт.  Вогнегасників ВВШ-9 </w:t>
      </w:r>
      <w:r>
        <w:rPr>
          <w:rFonts w:ascii="Times New Roman" w:hAnsi="Times New Roman" w:eastAsia="Times New Roman"/>
          <w:sz w:val="20"/>
          <w:szCs w:val="20"/>
          <w:lang w:eastAsia="uk-ua"/>
        </w:rPr>
        <w:t>вироблено та реалізовано також трохи менше ніж у попередньому році, а саме  - 1209 шт. У зв?язку з повномасштабним вторгненням російських окупаційних військ, на територію України, та тимчасовою окупацією міст Луганської та Донецької областей, деякі вугільні підприємства нажаль втратили своє існування. Таким чином обсяги споживання продукції ПрАТ "Макіївський завод "Факел", істотно зменшилось.</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Заходи емітента щодо зменшення ризиків: контроль за платіжною дисципліною контрагентів, залучення кредитних ресурсів, тощо.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Виробництво не залежить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сезонних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Для останнього часу характерно постійне зростання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 на сировину.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Основні ринки збуту продукції знаходяться на Україні.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Серед основних клієнтів є вугільні підприємства, зокрема, ДП "Селидіввугілля", ДП "Львіввугілля", ПрАТ "ШУ "Покровське", ТОВ "Шахта "Білозерська", ПрАТ "ДТЕК Павлоградвугілля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Ступінь конкурентного впливу - середній. На заводі "Факел" впроваджені такі прогресивні технології, як надійна зварка в середовища захисного газу, агрегатні станки, нові сучасні фарби та інші. Це дає можливість постійно оновлювати випуск продукції.</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Продукцію ПРАТ "Макіївський завод "Факел",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інших виробників відрізняє висока надійність конструкції, що забезпечено високим рівнем розробок базового інституту, прогресивною технологією, багатим досвідом виробництва. Перспективність основних видів продукції: попит на шахтні вогнегасники ВП-8 та ВВШ-9 постійно матиме місце, оскільки термін служби виробів - 10 років на поверхні та 5 років у шахтах. Згідно з технічними умовами, кожні 2 роки необхідно здійснювати перезарядження, технічне обслуговування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кожний рік здійснювати переосв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доцтво вогнегасників на підприємстві, яке може здійснити дотримання технологічного процесу та гарантувати якість цих послуг. Відповідно, Товариство планує поступово збільшувати обсяги виробництва основних видів продукції.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Канали збуту й методи продажу,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використовує емітент: Основним каналом збуту, що використовує ПРАТ "Макіївський завод "Факел", є продаж продукції безпосередньо кінцевому споживачеві. До методів продажу продукції ПРАТ можна віднести: - дослідження кон'юнктури , що склалася на ринку; - визначення попиту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наявності пропозицій на конкретні види продукції; - здійснення операцій з виробництва, зберігання продукції, установлення на продукцію конкурентоздатної ціни.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Так, на 2022 рік Товариство має низку підписаних та пролонгованих Договорів з ключовими контрагентами: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ПрАТ "ШУ "Покровське" - Договір № 2626П від 22.12.2018 року та підписано Специфікацію на 2022  рік на загальну суму понад 3 млн.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 "ДТЕК-Павлоградвугілля" підписана Додаткова угода до Договору № 7443-ДУ-УМТС-Т від 28-12-2017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ТДВ "Шахта "Білозерська" підписана Додаткова угода до Договору № 7450-ШБЗ-УМТС-Т від 28-10-2019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Основні придбання та відчуження активів протягом останніх п'яти років: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2015 року над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йшло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перв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сною варт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стю 9 тис.грн.(машини та обладнання). Списання основних засобів відбулось за первісною віртістю 37 тис.грн. (знос - 37 тис.грн.).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2016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2017 року надходження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відбувалось. Зменшення балансової вартості основних засобів відбулось через знецінення основних засобів (виявлені ознаки зменшення корисності та через обмеження доступу до даних активів, невнененістю одержанням в майбутньому економічних вигід від використання даних об'єктів). Знецінення необоротних активів за первісною вартістю - 14009,8 тис.грн., накопиченого зносу - 8118,4 тис.грн.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2019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2020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2021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2022 року надходження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відбувалось. Зменшення балансової вартості основних засобів відбулось через знецінення основних засобів (виявлені ознаки зменшення корисності, невнененістю одержанням в майбутньому економічних вигід від використання даних об'єктів).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розташовані за адресою: м. Київ, вул.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ринецька, буд.63.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використовуються належним чином. Ремонт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робиться своєчасно.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дриємство не має на баланс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отриманих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нансовою орендою.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 використання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становить: -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споруди - 35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машини та обладнання - 15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транспортн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- 15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- 5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року нараховано амортизац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 у сум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0.3 тис.грн., а саме: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нші основні засоби. 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йна варт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необоротних матер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альних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для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лей амортизац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 "0" грн.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Ступ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нь використання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(за основними групами) становить: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- 100%. Ступень зносу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31.12.22 р. по групам основних засобів становить: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споруди - 100%,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- 95%. На кінець року </w:t>
      </w:r>
      <w:r>
        <w:rPr>
          <w:rFonts w:ascii="Times New Roman" w:hAnsi="Times New Roman" w:eastAsia="Times New Roman"/>
          <w:sz w:val="20"/>
          <w:szCs w:val="20"/>
          <w:lang w:eastAsia="uk-ua"/>
        </w:rPr>
        <w:t>перв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сна варт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необоротних активів становить 27.5 тис.грн., знос 26.6 тис.грн.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 залишкова варт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кінець 2022 року становила 0.9 тис.грн.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 результат діяльності Товариства взагалі впливає нестабільне економічне становище в країні. Однак, одним з найбільш вагомих негативних факторів, що значно впливає на діяльність підприємства, є проведення на території місцезнаходження основних потужностей Товариства за адресою: м. Макіївка, Донецька область, вулиця Паркова, будинок 7, антитерористичної операції, операції об'єднаних сил та втрата контролю над вказаними потужностями з 2014 року у зв'язку з захватом їх невідомими військовими формуваннями, що в свою чергу спричинило значну шкоду Товариству та негативно вплинуло на фінансовий стан Товариства в цілому. Окрім того значний вплив на Товариство в 2021 році впливали післяковідні певні обмеження, що загалом негативно вплинули не тільки на економічні показники Товариства, а й на економіку країни вцілому.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Станом на 01.12.2022р. Товариством підписано декілька договорів зі споживачами на постачання своєї продукції на 2022 рік, а саме: подовжено строк дії Договору з ПрАТ "ШУ "Покровське" - Договір № 2626П від 22.12.2018 року, та підписано Специфікацію на  загальну суму понад 3 млн. грн., з ТОВ "ДТЕК-Павлоградвугілля" підписана Додаткова угода до Договору № 7442-ПУ-УМТС-Т від 28-12-2017 року, також з ТДВ "Шахта "Білозерська" підписана Додаткова угода до Договору № 7450-ШБЗ-УМТС-Т від 28-12-2018 року  загальною сумою понад 2 млн. грн., ДП "Добропіллявугілля" № 702-22ШУД від 16.09.2022 року. Також на початку 2022 року зіграно тендер та підписано Договір з ДП "Торецьквугілля", але у звёязку з початком війни, постачання не відбулось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Чисельність штатних працівників облікового складу складає 2 особи. Позаштатних працівників та осіб, які працюють за сумісництвом - немає. Працівників, які працюють на умовах неповного робочого часу (дня, тижня) - немає. Соціальний пакет на підприємстві відсутній.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Розмір фонду оплати праці становить 170.0 тис.грн., його збільшення відносно попереднього року сталося завдяки збільшенню мінімального розміру заробітної плати протягом року. Кадрова програма емітента щодо забезпечення рівня кваліфікації працівників операційним потребам Товариства спрямована на прийняття на роботу на сам перед підготовлених працівників.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2020 р.          2021р.    2022р.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(виручка)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реал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продукц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ї,тис. грн.                                   8006,4         6631,4     6774,5</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Чистий прибуток (збиток), тис. грн.                                                            50,0          127,5         45,0</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У  2022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Товариство отримало прибуток 45,0 тис.грн. В пор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внянн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 2021 роком дох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(виручка)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реал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продукц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збільшилась на 143,10 тис.</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Пропозиції щодо реорганізації Товариства з боку третіх осіб не надходили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Інформація про основні засоби емітента ( за залишковою вартістю )Найменування основних засобів</w:t>
        <w:tab/>
        <w:t>Власні основні засоби (тис.грн.)</w:t>
        <w:tab/>
        <w:t>Орендовані основні засоби (тис.грн.)</w:t>
        <w:tab/>
        <w:t>Основні засоби , всього (тис.грн.)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ab/>
        <w:t>На початок періоду</w:t>
        <w:tab/>
        <w:t>На кінець періоду</w:t>
        <w:tab/>
        <w:t>На початок періоду</w:t>
        <w:tab/>
        <w:t>На кінець періоду</w:t>
        <w:tab/>
        <w:t>На початок періоду</w:t>
      </w:r>
      <w:r>
        <w:rPr>
          <w:rFonts w:ascii="Times New Roman" w:hAnsi="Times New Roman" w:eastAsia="Times New Roman"/>
          <w:sz w:val="20"/>
          <w:szCs w:val="20"/>
          <w:lang w:eastAsia="uk-ua"/>
        </w:rPr>
        <w:tab/>
        <w:t>На кінець періоду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1.Виробничого призначення</w:t>
        <w:tab/>
        <w:t>1.1</w:t>
        <w:tab/>
        <w:t xml:space="preserve">      0.900</w:t>
        <w:tab/>
        <w:t>0.000</w:t>
        <w:tab/>
        <w:t>0.000</w:t>
      </w:r>
      <w:r>
        <w:rPr>
          <w:rFonts w:ascii="Times New Roman" w:hAnsi="Times New Roman" w:eastAsia="Times New Roman"/>
          <w:sz w:val="20"/>
          <w:szCs w:val="20"/>
          <w:lang w:eastAsia="uk-ua"/>
        </w:rPr>
        <w:tab/>
        <w:t>1.1</w:t>
      </w:r>
      <w:r>
        <w:rPr>
          <w:rFonts w:ascii="Times New Roman" w:hAnsi="Times New Roman" w:eastAsia="Times New Roman"/>
          <w:sz w:val="20"/>
          <w:szCs w:val="20"/>
          <w:lang w:eastAsia="uk-ua"/>
        </w:rPr>
        <w:tab/>
        <w:t xml:space="preserve">      0.900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будівлі та споруди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машини та обладнання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транспортні засоби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земельні ділянки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інші</w:t>
        <w:tab/>
        <w:t xml:space="preserve">                                    1.1</w:t>
        <w:tab/>
        <w:t xml:space="preserve">      0.900</w:t>
        <w:tab/>
        <w:t>0.000</w:t>
        <w:tab/>
        <w:t>0.000</w:t>
      </w:r>
      <w:r>
        <w:rPr>
          <w:rFonts w:ascii="Times New Roman" w:hAnsi="Times New Roman" w:eastAsia="Times New Roman"/>
          <w:sz w:val="20"/>
          <w:szCs w:val="20"/>
          <w:lang w:eastAsia="uk-ua"/>
        </w:rPr>
        <w:tab/>
        <w:t>1.1</w:t>
      </w:r>
      <w:r>
        <w:rPr>
          <w:rFonts w:ascii="Times New Roman" w:hAnsi="Times New Roman" w:eastAsia="Times New Roman"/>
          <w:sz w:val="20"/>
          <w:szCs w:val="20"/>
          <w:lang w:eastAsia="uk-ua"/>
        </w:rPr>
        <w:tab/>
        <w:t xml:space="preserve">      0.900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Невиробничого призначення</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будівлі та споруди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машини та обладнання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транспортні засоби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земельні ділянки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інвестиційна нерухомість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інші</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Усього</w:t>
        <w:tab/>
        <w:t xml:space="preserve">                                    1.1</w:t>
        <w:tab/>
        <w:t xml:space="preserve">      0.900</w:t>
        <w:tab/>
        <w:t>0.000</w:t>
        <w:tab/>
        <w:t>0.000</w:t>
      </w:r>
      <w:r>
        <w:rPr>
          <w:rFonts w:ascii="Times New Roman" w:hAnsi="Times New Roman" w:eastAsia="Times New Roman"/>
          <w:sz w:val="20"/>
          <w:szCs w:val="20"/>
          <w:lang w:eastAsia="uk-ua"/>
        </w:rPr>
        <w:tab/>
        <w:t>1.1</w:t>
      </w:r>
      <w:r>
        <w:rPr>
          <w:rFonts w:ascii="Times New Roman" w:hAnsi="Times New Roman" w:eastAsia="Times New Roman"/>
          <w:sz w:val="20"/>
          <w:szCs w:val="20"/>
          <w:lang w:eastAsia="uk-ua"/>
        </w:rPr>
        <w:tab/>
        <w:t xml:space="preserve">      0.900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Пояснення :  Пояснення:  Одиницею обліку основних засобів є об'єкт основних засобів. Придбані (створені) основні засоби зараховуються на баланс товариства за первісною вартістю. Основні засоби відображені в обліку за фактичними витратами на їх придбання, доставку, установку, спорудження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виготовлення.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Основні засоби розташовані за адресою: м. Київ, вул.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ринецька, буд.63.  Основні засоби використовуються належним чином. Ремонт основних засобів робиться своєчасно. Підприємство не має на балансі основних засобів, отриманих за фінансовою орендою.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Термін використання основних засобів становить: - будівлі та споруди - 35 років, - машини та обладнання - 15 років, - транспортні засоби - 15 років, - інші основні засоби - 5 років.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звітного року нараховано амортизацію у сум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1,8  тис.грн., а саме: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нші основні засоби. Ліквідаційна вартість необоротних матеріальних активів для цілей амортизації - "0" грн.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Ступінь використання основних засобів (за основними групами) становить: інші - 100%. Ступень зносу основних засобів на 31.12.22р. по групам основних засобів становить: будівлі та споруди - 100%,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- 95%. На кінець року первісна вартість основних засобів становить 20,2 тис. грн., знос 19,3 тис. грн. Відповідно, залишкова вартість основних засобів на кінець 2022 року становила 0,9 тис. грн.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2022 року надходження основних засобів не відбувалось. Зменшення балансової вартості основних засобів відбулось через знецінення основних засобів (виявлені ознаки зменшення корисності, невпевненістю одержанням в майбутньому економічних вигід від використання даних об'єктів).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p>
      <w:pPr>
        <w:spacing w:after="0" w:line="240" w:lineRule="auto"/>
        <w:jc w:val="center"/>
        <w:rPr>
          <w:rFonts w:ascii="Times New Roman" w:hAnsi="Times New Roman" w:eastAsia="Times New Roman"/>
          <w:vanish w:val="1"/>
          <w:sz w:val="24"/>
          <w:szCs w:val="24"/>
          <w:lang w:val="uk-ua" w:eastAsia="uk-ua"/>
        </w:rPr>
      </w:pPr>
      <w:r>
        <w:rPr>
          <w:rFonts w:ascii="Times New Roman" w:hAnsi="Times New Roman" w:eastAsia="Times New Roman"/>
          <w:b/>
          <w:bCs/>
          <w:color w:val="000000"/>
          <w:sz w:val="24"/>
          <w:szCs w:val="24"/>
          <w:lang w:val="uk-ua" w:eastAsia="uk-ua"/>
        </w:rPr>
        <w:t>Інформація про основні засоби емітента ( за залишковою вартістю )</w:t>
      </w:r>
      <w:r>
        <w:rPr>
          <w:rFonts w:ascii="Times New Roman" w:hAnsi="Times New Roman" w:eastAsia="Times New Roman"/>
          <w:vanish w:val="1"/>
          <w:sz w:val="24"/>
          <w:szCs w:val="24"/>
          <w:lang w:val="uk-ua" w:eastAsia="uk-ua"/>
        </w:rPr>
      </w:r>
    </w:p>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tbl>
      <w:tblPr>
        <w:tblStyle w:val="NormalTable"/>
        <w:name w:val="Таблица11"/>
        <w:tabOrder w:val="0"/>
        <w:jc w:val="left"/>
        <w:tblInd w:w="0" w:type="dxa"/>
        <w:tblW w:w="9922" w:type="dxa"/>
        <w:tblLook w:val="01E0" w:firstRow="1" w:lastRow="1" w:firstColumn="1" w:lastColumn="1" w:noHBand="0" w:noVBand="0"/>
      </w:tblPr>
      <w:tblGrid>
        <w:gridCol w:w="3047"/>
        <w:gridCol w:w="1146"/>
        <w:gridCol w:w="1146"/>
        <w:gridCol w:w="1145"/>
        <w:gridCol w:w="1146"/>
        <w:gridCol w:w="1146"/>
        <w:gridCol w:w="1146"/>
      </w:tblGrid>
      <w:tr>
        <w:trPr>
          <w:cantSplit w:val="0"/>
          <w:trHeight w:val="461" w:hRule="atLeast"/>
        </w:trPr>
        <w:tc>
          <w:tcPr>
            <w:tcW w:w="3047"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Найменування основних засобів</w:t>
            </w:r>
          </w:p>
        </w:tc>
        <w:tc>
          <w:tcPr>
            <w:tcW w:w="2292"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Власні основні засоби (тис.грн.)</w:t>
            </w:r>
          </w:p>
        </w:tc>
        <w:tc>
          <w:tcPr>
            <w:tcW w:w="2291"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Орендовані основні засоби (тис.грн.)</w:t>
            </w:r>
          </w:p>
        </w:tc>
        <w:tc>
          <w:tcPr>
            <w:tcW w:w="2292"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Основні засоби , всього (тис.грн.)</w:t>
            </w:r>
          </w:p>
        </w:tc>
      </w:tr>
      <w:tr>
        <w:trPr>
          <w:cantSplit w:val="0"/>
          <w:trHeight w:val="147" w:hRule="atLeast"/>
        </w:trPr>
        <w:tc>
          <w:tcPr>
            <w:tcW w:w="3047"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1.Виробничого призначення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1.100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1.100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будівлі та споруди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машини та обладнання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транспортні засоби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земельні ділянки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інші</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1.100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1.100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2. Невиробничого призначення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будівлі та споруди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машини та обладнання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транспортні засоби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земельні ділянки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xml:space="preserve">- </w:t>
            </w:r>
            <w:r>
              <w:rPr>
                <w:rFonts w:ascii="Times New Roman" w:hAnsi="Times New Roman" w:eastAsia="Times New Roman"/>
                <w:b/>
                <w:sz w:val="20"/>
                <w:szCs w:val="20"/>
                <w:lang w:val="en-us" w:eastAsia="uk-ua"/>
              </w:rPr>
              <w:t>ін</w:t>
            </w:r>
            <w:r>
              <w:rPr>
                <w:rFonts w:ascii="Times New Roman" w:hAnsi="Times New Roman" w:eastAsia="Times New Roman"/>
                <w:b/>
                <w:sz w:val="20"/>
                <w:szCs w:val="20"/>
                <w:lang w:eastAsia="uk-ua"/>
              </w:rPr>
              <w:t>в</w:t>
            </w:r>
            <w:r>
              <w:rPr>
                <w:rFonts w:ascii="Times New Roman" w:hAnsi="Times New Roman" w:eastAsia="Times New Roman"/>
                <w:b/>
                <w:sz w:val="20"/>
                <w:szCs w:val="20"/>
                <w:lang w:val="en-us" w:eastAsia="uk-ua"/>
              </w:rPr>
              <w:t>естиційна нерухомість</w:t>
            </w:r>
            <w:r>
              <w:rPr>
                <w:rFonts w:ascii="Times New Roman" w:hAnsi="Times New Roman" w:eastAsia="Times New Roman"/>
                <w:b/>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інші</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Усього</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1.100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1.100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r>
    </w:tbl>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b/>
          <w:sz w:val="20"/>
          <w:szCs w:val="20"/>
          <w:lang w:val="uk-ua" w:eastAsia="uk-ua"/>
        </w:rPr>
        <w:t xml:space="preserve">Пояснення : </w:t>
      </w:r>
      <w:r>
        <w:rPr>
          <w:rFonts w:ascii="Times New Roman" w:hAnsi="Times New Roman" w:eastAsia="Times New Roman"/>
          <w:b/>
          <w:sz w:val="20"/>
          <w:szCs w:val="20"/>
          <w:lang w:eastAsia="uk-ua"/>
        </w:rPr>
        <w:t xml:space="preserve"> </w:t>
      </w:r>
      <w:r>
        <w:rPr>
          <w:rFonts w:ascii="Times New Roman" w:hAnsi="Times New Roman" w:eastAsia="Times New Roman"/>
          <w:sz w:val="20"/>
          <w:szCs w:val="20"/>
          <w:lang w:eastAsia="uk-ua"/>
        </w:rPr>
        <w:t xml:space="preserve">Пояснення:  Одиницею облiку основних засобiв є об'єкт основних засобiв. Придбанi (створенi) основнi засоби зараховуються на баланс товариства за первiсною вартiстю. Основнi засоби вiдображенi в облiку за фактичними витратами на їх придбання, доставку, установку, спорудження i виготовлення.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Основнi засоби розташовані за адресою: м.Київ, вул.Звiринецька, буд.63. Основнi засоби використовуються належним чином. Ремонт основних засобiв робиться своєчасно. Пiдриємство не має на балансi основних засобiв, отриманих за фiнансовою орендою.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Термiн використання основних засобiв становить: - будiвлi та споруди - 35 рокiв, - машини та обладнання - 15 рокiв, - транспортнi засоби - 15 рокiв, - iншi основнi засоби - 5 рокiв.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звiтного року нараховано амортизацiю у сумi  7,3  тис.грн., а саме: iнші основні засоби. Лiквiдацiйна вартiсть необоротних матерiальних активiв для цiлей амортизацiї - "0"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Ступiнь використання основних засобiв (за основними групами) становить: iншi - 100%. Ступень зносу основних засобiв на 31.12.22р. по групам основних засобів становить: будiвлi та споруди - 100%, iншi - 95%. На кінець року первiсна вартiсть основних засобiв становить 20,2 тис.грн., знос 19,3 тис.грн. Вiдповiдно, залишкова вартiсть основних засобiв на кінець 2022 0,9 тис.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2022 року надходження основних засобiв не відбувалось. Зменшення балансової вартості основних засобів відбулось через  накопиченого зносу - 0,2 тис.грн.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tbl>
      <w:tblPr>
        <w:tblStyle w:val="NormalTable"/>
        <w:name w:val="Таблица12"/>
        <w:tabOrder w:val="0"/>
        <w:jc w:val="left"/>
        <w:tblInd w:w="0" w:type="dxa"/>
        <w:tblW w:w="9828" w:type="dxa"/>
        <w:tblLook w:val="01E0" w:firstRow="1" w:lastRow="1" w:firstColumn="1" w:lastColumn="1" w:noHBand="0" w:noVBand="0"/>
      </w:tblPr>
      <w:tblGrid>
        <w:gridCol w:w="1252"/>
        <w:gridCol w:w="3438"/>
        <w:gridCol w:w="2571"/>
        <w:gridCol w:w="2567"/>
      </w:tblGrid>
      <w:tr>
        <w:trPr>
          <w:cantSplit w:val="0"/>
          <w:trHeight w:val="244" w:hRule="atLeast"/>
        </w:trPr>
        <w:tc>
          <w:tcPr>
            <w:tcW w:w="9828" w:type="dxa"/>
            <w:gridSpan w:val="4"/>
            <w:tmTcPr id="1759223739" protected="0"/>
          </w:tcPr>
          <w:p>
            <w:pPr>
              <w:spacing w:after="0" w:line="240" w:lineRule="auto"/>
              <w:jc w:val="center"/>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Інформація щодо вартості чистих активів емітента</w:t>
            </w:r>
          </w:p>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c>
      </w:tr>
      <w:tr>
        <w:trPr>
          <w:cantSplit w:val="0"/>
          <w:trHeight w:val="496" w:hRule="atLeast"/>
        </w:trPr>
        <w:tc>
          <w:tcPr>
            <w:tcW w:w="4690" w:type="dxa"/>
            <w:gridSpan w:val="2"/>
            <w:vAlign w:val="center"/>
            <w:tcBorders>
              <w:top w:val="single" w:sz="4" w:space="0" w:color="000000" tmln="10,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eastAsia="uk-ua"/>
              </w:rPr>
              <w:t>Найменування показника</w:t>
            </w:r>
            <w:r>
              <w:rPr>
                <w:rFonts w:ascii="Times New Roman" w:hAnsi="Times New Roman" w:eastAsia="Times New Roman"/>
                <w:b/>
                <w:sz w:val="20"/>
                <w:szCs w:val="20"/>
                <w:lang w:val="en-us" w:eastAsia="uk-ua"/>
              </w:rPr>
              <w:t xml:space="preserve"> </w:t>
            </w:r>
            <w:r>
              <w:rPr>
                <w:rFonts w:ascii="Times New Roman" w:hAnsi="Times New Roman" w:eastAsia="Times New Roman"/>
                <w:b/>
                <w:sz w:val="20"/>
                <w:szCs w:val="20"/>
                <w:lang w:val="uk-ua" w:eastAsia="uk-ua"/>
              </w:rPr>
            </w:r>
          </w:p>
        </w:tc>
        <w:tc>
          <w:tcPr>
            <w:tcW w:w="2571" w:type="dxa"/>
            <w:vAlign w:val="center"/>
            <w:tcBorders>
              <w:top w:val="single" w:sz="4" w:space="0" w:color="000000" tmln="10,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За звітний період</w:t>
            </w:r>
          </w:p>
        </w:tc>
        <w:tc>
          <w:tcPr>
            <w:tcW w:w="2567" w:type="dxa"/>
            <w:vAlign w:val="center"/>
            <w:tcBorders>
              <w:top w:val="single" w:sz="4" w:space="0" w:color="000000" tmln="10,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За попередній період</w:t>
            </w:r>
          </w:p>
        </w:tc>
      </w:tr>
      <w:tr>
        <w:trPr>
          <w:cantSplit w:val="0"/>
          <w:trHeight w:val="399"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Розрахункова вартість чистих активів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5767.7</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57225</w:t>
            </w:r>
            <w:r>
              <w:rPr>
                <w:rFonts w:ascii="Times New Roman" w:hAnsi="Times New Roman" w:eastAsia="Times New Roman"/>
                <w:sz w:val="20"/>
                <w:szCs w:val="20"/>
                <w:lang w:eastAsia="uk-ua"/>
              </w:rPr>
            </w:r>
          </w:p>
        </w:tc>
      </w:tr>
      <w:tr>
        <w:trPr>
          <w:cantSplit w:val="0"/>
          <w:trHeight w:val="418"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Статутний капітал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Скоригований статутний капітал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4"/>
                <w:lang w:val="uk-ua" w:eastAsia="uk-ua"/>
              </w:rPr>
              <w:t>Співвідношення (у відсотках) вартості чистих активів особи за звітний період до розміру зареєстрованого статутного капіталу особи</w:t>
            </w:r>
            <w:r>
              <w:rPr>
                <w:rFonts w:ascii="Times New Roman" w:hAnsi="Times New Roman" w:eastAsia="Times New Roman"/>
                <w:b/>
                <w:sz w:val="20"/>
                <w:szCs w:val="20"/>
                <w:lang w:eastAsia="uk-ua"/>
              </w:rPr>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145.785</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144.643</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4"/>
                <w:lang w:val="uk-ua" w:eastAsia="uk-ua"/>
              </w:rPr>
              <w:t>Співвідношення (у відсотках) вартості чистих активів особи за звітний період до вартості чистих активів за попередній звітний період</w:t>
            </w:r>
            <w:r>
              <w:rPr>
                <w:rFonts w:ascii="Times New Roman" w:hAnsi="Times New Roman" w:eastAsia="Times New Roman"/>
                <w:b/>
                <w:sz w:val="20"/>
                <w:szCs w:val="20"/>
                <w:lang w:eastAsia="uk-ua"/>
              </w:rPr>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100.789</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102.279</w:t>
            </w:r>
            <w:r>
              <w:rPr>
                <w:rFonts w:ascii="Times New Roman" w:hAnsi="Times New Roman" w:eastAsia="Times New Roman"/>
                <w:sz w:val="20"/>
                <w:szCs w:val="20"/>
                <w:lang w:eastAsia="uk-ua"/>
              </w:rPr>
            </w:r>
          </w:p>
        </w:tc>
      </w:tr>
      <w:tr>
        <w:trPr>
          <w:cantSplit w:val="0"/>
          <w:trHeight w:val="340" w:hRule="atLeast"/>
        </w:trPr>
        <w:tc>
          <w:tcPr>
            <w:tcW w:w="1252" w:type="dxa"/>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Додаткова інформація</w:t>
            </w:r>
          </w:p>
        </w:tc>
        <w:tc>
          <w:tcPr>
            <w:tcW w:w="8576" w:type="dxa"/>
            <w:gridSpan w:val="3"/>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39"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Розрахунок вартості чистих активів виконано відповідно до пункту 2 статті 16 Закону України "Про акціонерні товариства" №2465-</w:t>
            </w:r>
            <w:r>
              <w:rPr>
                <w:rFonts w:ascii="Times New Roman" w:hAnsi="Times New Roman" w:eastAsia="Times New Roman"/>
                <w:sz w:val="20"/>
                <w:szCs w:val="20"/>
                <w:lang w:val="en-us" w:eastAsia="uk-ua"/>
              </w:rPr>
              <w:t>IX</w:t>
            </w:r>
            <w:r>
              <w:rPr>
                <w:rFonts w:ascii="Times New Roman" w:hAnsi="Times New Roman" w:eastAsia="Times New Roman"/>
                <w:sz w:val="20"/>
                <w:szCs w:val="20"/>
                <w:lang w:eastAsia="uk-ua"/>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Співвідношення вартості чистих активів особи за звітний період (5767.7 тис.грн ) до розміру зареєстрованого статутного капіталу особи (3956.3 тис.грн ) - 145.785%.</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Співвідношення вартості чистих активів особи за звітний період (5767.7 тис.грн ) до вартості чистих активів за попередній звітний період (57225.0 тис.грн ) - 100.789%.</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Вимоги п.2 ст.16 Закону України "Про акціонерні товариства" дотримуються.</w:t>
            </w:r>
          </w:p>
        </w:tc>
      </w:tr>
    </w:tbl>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зобов'язання та забезпечення емітента</w:t>
      </w:r>
      <w:r>
        <w:rPr>
          <w:rFonts w:ascii="Times New Roman" w:hAnsi="Times New Roman" w:eastAsia="Times New Roman"/>
          <w:b/>
          <w:sz w:val="24"/>
          <w:szCs w:val="24"/>
          <w:lang w:val="uk-ua" w:eastAsia="uk-ua"/>
        </w:rPr>
      </w:r>
    </w:p>
    <w:p>
      <w:pPr>
        <w:spacing w:after="0" w:line="240" w:lineRule="auto"/>
        <w:rPr>
          <w:rFonts w:ascii="Times New Roman" w:hAnsi="Times New Roman" w:eastAsia="Times New Roman"/>
          <w:vanish w:val="1"/>
          <w:color w:val="000000"/>
          <w:sz w:val="24"/>
          <w:szCs w:val="24"/>
          <w:lang w:val="uk-ua" w:eastAsia="uk-ua"/>
        </w:rPr>
      </w:pPr>
      <w:r>
        <w:rPr>
          <w:rFonts w:ascii="Times New Roman" w:hAnsi="Times New Roman" w:eastAsia="Times New Roman"/>
          <w:vanish w:val="1"/>
          <w:color w:val="000000"/>
          <w:sz w:val="24"/>
          <w:szCs w:val="24"/>
          <w:lang w:val="uk-ua" w:eastAsia="uk-ua"/>
        </w:rPr>
      </w:r>
    </w:p>
    <w:tbl>
      <w:tblPr>
        <w:tblStyle w:val="NormalTable"/>
        <w:name w:val="Таблица13"/>
        <w:tabOrder w:val="0"/>
        <w:jc w:val="left"/>
        <w:tblInd w:w="15" w:type="dxa"/>
        <w:tblW w:w="9953" w:type="dxa"/>
        <w:tblLook w:val="0000" w:firstRow="0" w:lastRow="0" w:firstColumn="0" w:lastColumn="0" w:noHBand="0" w:noVBand="0"/>
      </w:tblPr>
      <w:tblGrid>
        <w:gridCol w:w="4494"/>
        <w:gridCol w:w="1189"/>
        <w:gridCol w:w="1386"/>
        <w:gridCol w:w="1652"/>
        <w:gridCol w:w="1232"/>
      </w:tblGrid>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Види зобов’</w:t>
            </w:r>
            <w:r>
              <w:rPr>
                <w:rFonts w:ascii="Times New Roman" w:hAnsi="Times New Roman" w:eastAsia="Times New Roman"/>
                <w:b/>
                <w:bCs/>
                <w:sz w:val="20"/>
                <w:szCs w:val="20"/>
                <w:lang w:val="en-us" w:eastAsia="uk-ua"/>
              </w:rPr>
              <w:t>язань</w:t>
            </w:r>
            <w:r>
              <w:rPr>
                <w:rFonts w:ascii="Times New Roman" w:hAnsi="Times New Roman" w:eastAsia="Times New Roman"/>
                <w:b/>
                <w:bCs/>
                <w:sz w:val="20"/>
                <w:szCs w:val="20"/>
                <w:lang w:val="uk-ua" w:eastAsia="uk-ua"/>
              </w:rPr>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виникнення</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Непогашена частина боргу (тис.грн.)</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Відсоток за користування коштами (відсоток річних)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погашення</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Кредити банку, у тому числі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Зобов'язання за цінними паперами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тому числі за облігаціями (за кожним випуском)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іпотечними цінними паперами (за кожним власним випуском):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сертифікатами ФОН (за кожним власним випуском):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векселями ( всього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іншими цінними паперами (у тому числі за деривативами) (за кожним видом):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фінансовими інвестиціями в корпоративні права (за кожним видом):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Податкові зобов'язання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Податкові зобов'язання</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Фінансова допомога на зворотній основі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Інші зобов'язання та забезпечення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822.10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підзвітними особами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31.12.2020</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покупцями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5.40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Податковий кредит</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постачальниками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816.70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зі страхування</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Усього зобов'язань та забезпечень</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822.10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4"/>
          <w:footerReference w:type="default" r:id="rId15"/>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left="284"/>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обсяги виробництва та реалізації основних видів продукції</w:t>
      </w:r>
      <w:r>
        <w:rPr>
          <w:rFonts w:ascii="Times New Roman" w:hAnsi="Times New Roman" w:eastAsia="Times New Roman"/>
          <w:b/>
          <w:sz w:val="24"/>
          <w:szCs w:val="24"/>
          <w:lang w:val="uk-ua" w:eastAsia="uk-ua"/>
        </w:rPr>
      </w:r>
    </w:p>
    <w:tbl>
      <w:tblPr>
        <w:tblStyle w:val="NormalTable"/>
        <w:name w:val="Таблица14"/>
        <w:tabOrder w:val="0"/>
        <w:jc w:val="left"/>
        <w:tblInd w:w="375" w:type="dxa"/>
        <w:tblW w:w="15542" w:type="dxa"/>
        <w:tblLook w:val="0000" w:firstRow="0" w:lastRow="0" w:firstColumn="0" w:lastColumn="0" w:noHBand="0" w:noVBand="0"/>
      </w:tblPr>
      <w:tblGrid>
        <w:gridCol w:w="634"/>
        <w:gridCol w:w="4326"/>
        <w:gridCol w:w="1735"/>
        <w:gridCol w:w="1736"/>
        <w:gridCol w:w="1736"/>
        <w:gridCol w:w="1777"/>
        <w:gridCol w:w="1820"/>
        <w:gridCol w:w="1778"/>
      </w:tblGrid>
      <w:tr>
        <w:trPr>
          <w:cantSplit w:val="0"/>
          <w:trHeight w:val="0" w:hRule="auto"/>
        </w:trPr>
        <w:tc>
          <w:tcPr>
            <w:tcW w:w="634" w:type="dxa"/>
            <w:vMerge w:val="restart"/>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 з/п</w:t>
            </w:r>
          </w:p>
        </w:tc>
        <w:tc>
          <w:tcPr>
            <w:tcW w:w="4326" w:type="dxa"/>
            <w:vMerge w:val="restart"/>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Основний вид продукції</w:t>
            </w:r>
          </w:p>
        </w:tc>
        <w:tc>
          <w:tcPr>
            <w:tcW w:w="5207" w:type="dxa"/>
            <w:gridSpan w:val="3"/>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Обсяг виробництва</w:t>
            </w:r>
          </w:p>
        </w:tc>
        <w:tc>
          <w:tcPr>
            <w:tcW w:w="5375" w:type="dxa"/>
            <w:gridSpan w:val="3"/>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Обсяг реалізованої продукції</w:t>
            </w:r>
          </w:p>
        </w:tc>
      </w:tr>
      <w:tr>
        <w:trPr>
          <w:cantSplit w:val="0"/>
          <w:trHeight w:val="0" w:hRule="auto"/>
        </w:trPr>
        <w:tc>
          <w:tcPr>
            <w:tcW w:w="634" w:type="dxa"/>
            <w:vMerge/>
            <w:vAlign w:val="center"/>
            <w:tcMar>
              <w:top w:w="15" w:type="dxa"/>
              <w:left w:w="15" w:type="dxa"/>
              <w:bottom w:w="15" w:type="dxa"/>
              <w:right w:w="15" w:type="dxa"/>
            </w:tcMar>
            <w:tcBorders>
              <w:left w:val="single" w:sz="6" w:space="0" w:color="000000" tmln="15, 20, 20, 0, 0"/>
              <w:bottom w:val="single" w:sz="6" w:space="0" w:color="000000" tmln="15, 20, 20, 0, 0"/>
              <w:right w:val="single" w:sz="6" w:space="0" w:color="000000" tmln="15, 20, 20, 0, 0"/>
            </w:tcBorders>
            <w:tmTcPr id="1759223739" protected="0"/>
          </w:tcPr>
          <w:p/>
        </w:tc>
        <w:tc>
          <w:tcPr>
            <w:tcW w:w="4326" w:type="dxa"/>
            <w:vMerge/>
            <w:vAlign w:val="center"/>
            <w:tcMar>
              <w:top w:w="15" w:type="dxa"/>
              <w:left w:w="15" w:type="dxa"/>
              <w:bottom w:w="15" w:type="dxa"/>
              <w:right w:w="15" w:type="dxa"/>
            </w:tcMar>
            <w:tcBorders>
              <w:left w:val="single" w:sz="6" w:space="0" w:color="000000" tmln="15, 20, 20, 0, 0"/>
              <w:bottom w:val="single" w:sz="6" w:space="0" w:color="000000" tmln="15, 20, 20, 0, 0"/>
              <w:right w:val="single" w:sz="6" w:space="0" w:color="000000" tmln="15, 20, 20, 0, 0"/>
            </w:tcBorders>
            <w:tmTcPr id="1759223739" protected="0"/>
          </w:tcP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натуральній формі (фізична одиниця виміру)</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грошові формі (тис.грн.)</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відсотках до всієї виробленої продукції</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натуральній формі (фізична одиниця виміру)</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грошові формі (тис.грн.)</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 відсотках до всієї реалізованої продукції</w:t>
            </w:r>
            <w:r>
              <w:rPr>
                <w:rFonts w:ascii="Times New Roman" w:hAnsi="Times New Roman" w:eastAsia="Times New Roman"/>
                <w:b/>
                <w:bCs/>
                <w:sz w:val="20"/>
                <w:szCs w:val="20"/>
                <w:lang w:val="uk-ua" w:eastAsia="uk-ua"/>
              </w:rPr>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2</w:t>
            </w:r>
            <w:r>
              <w:rPr>
                <w:rFonts w:ascii="Times New Roman" w:hAnsi="Times New Roman" w:eastAsia="Times New Roman"/>
                <w:b/>
                <w:bCs/>
                <w:sz w:val="20"/>
                <w:szCs w:val="20"/>
                <w:lang w:val="uk-ua" w:eastAsia="uk-ua"/>
              </w:rPr>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4</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5</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6</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7</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w:t>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Вогнегасник шахт.ВП-8</w:t>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2006</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3365.90</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76.6</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2006</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3749.30</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70.4</w:t>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Вогнегасник шахт.ВВШ-9</w:t>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1209.</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10274.00</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23.4</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1209.</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1573.00</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29.6</w:t>
            </w:r>
          </w:p>
        </w:tc>
      </w:tr>
    </w:tbl>
    <w:p>
      <w:pPr>
        <w:spacing w:after="0" w:line="240" w:lineRule="auto"/>
        <w:jc w:val="center"/>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6"/>
          <w:footerReference w:type="default" r:id="rId17"/>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собівартість реалізованої продукції</w:t>
      </w:r>
      <w:r>
        <w:rPr>
          <w:rFonts w:ascii="Times New Roman" w:hAnsi="Times New Roman" w:eastAsia="Times New Roman"/>
          <w:b/>
          <w:sz w:val="24"/>
          <w:szCs w:val="24"/>
          <w:lang w:val="uk-ua" w:eastAsia="uk-ua"/>
        </w:rPr>
      </w:r>
    </w:p>
    <w:tbl>
      <w:tblPr>
        <w:tblStyle w:val="NormalTable"/>
        <w:name w:val="Таблица15"/>
        <w:tabOrder w:val="0"/>
        <w:jc w:val="left"/>
        <w:tblInd w:w="15" w:type="dxa"/>
        <w:tblW w:w="10080" w:type="dxa"/>
        <w:tblLook w:val="0000" w:firstRow="0" w:lastRow="0" w:firstColumn="0" w:lastColumn="0" w:noHBand="0" w:noVBand="0"/>
      </w:tblPr>
      <w:tblGrid>
        <w:gridCol w:w="540"/>
        <w:gridCol w:w="7299"/>
        <w:gridCol w:w="2241"/>
      </w:tblGrid>
      <w:tr>
        <w:trPr>
          <w:cantSplit w:val="0"/>
          <w:trHeight w:val="0" w:hRule="auto"/>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 з/п</w:t>
            </w:r>
          </w:p>
        </w:tc>
        <w:tc>
          <w:tcPr>
            <w:tcW w:w="729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Склад витрат</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Відсоток від загальної собівартості реалізованої продукції (у відсотках)</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2</w:t>
            </w:r>
            <w:r>
              <w:rPr>
                <w:rFonts w:ascii="Times New Roman" w:hAnsi="Times New Roman" w:eastAsia="Times New Roman"/>
                <w:b/>
                <w:bCs/>
                <w:sz w:val="20"/>
                <w:szCs w:val="20"/>
                <w:lang w:val="uk-ua" w:eastAsia="uk-ua"/>
              </w:rPr>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Матеріальні витрати</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100.00</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Витрати на оплату праці</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0.00</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Відрахування на соціальні заходи</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0.00</w:t>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bl>
      <w:tblPr>
        <w:tblStyle w:val="NormalTable"/>
        <w:name w:val="Таблица16"/>
        <w:tabOrder w:val="0"/>
        <w:jc w:val="left"/>
        <w:tblInd w:w="60" w:type="dxa"/>
        <w:tblW w:w="9720" w:type="dxa"/>
        <w:tblLook w:val="0000" w:firstRow="0" w:lastRow="0" w:firstColumn="0" w:lastColumn="0" w:noHBand="0" w:noVBand="0"/>
      </w:tblPr>
      <w:tblGrid>
        <w:gridCol w:w="9720"/>
      </w:tblGrid>
      <w:tr>
        <w:trPr>
          <w:cantSplit w:val="0"/>
          <w:trHeight w:val="0" w:hRule="auto"/>
        </w:trPr>
        <w:tc>
          <w:tcPr>
            <w:tcW w:w="9720" w:type="dxa"/>
            <w:vAlign w:val="center"/>
            <w:tcMar>
              <w:top w:w="60" w:type="dxa"/>
              <w:left w:w="60" w:type="dxa"/>
              <w:bottom w:w="60" w:type="dxa"/>
              <w:right w:w="60" w:type="dxa"/>
            </w:tcMar>
            <w:tmTcPr id="1759223739" protected="0"/>
          </w:tcPr>
          <w:p>
            <w:pPr>
              <w:ind w:left="-210"/>
              <w:spacing w:after="0" w:line="240" w:lineRule="auto"/>
              <w:jc w:val="center"/>
              <w:rPr>
                <w:rFonts w:ascii="Times New Roman" w:hAnsi="Times New Roman" w:eastAsia="Times New Roman"/>
                <w:b/>
                <w:bCs/>
                <w:sz w:val="24"/>
                <w:szCs w:val="24"/>
                <w:lang w:val="uk-ua" w:eastAsia="uk-ua"/>
              </w:rPr>
            </w:pPr>
            <w:r>
              <w:rPr>
                <w:rFonts w:ascii="Times New Roman" w:hAnsi="Times New Roman" w:eastAsia="Times New Roman"/>
                <w:b/>
                <w:color w:val="000000"/>
                <w:sz w:val="24"/>
                <w:szCs w:val="24"/>
                <w:lang w:val="uk-ua" w:eastAsia="uk-ua"/>
              </w:rPr>
              <w:t>Інформація про осіб, послугами яких користується емітент</w:t>
            </w:r>
            <w:r>
              <w:rPr>
                <w:rFonts w:ascii="Times New Roman" w:hAnsi="Times New Roman" w:eastAsia="Times New Roman"/>
                <w:b/>
                <w:bCs/>
                <w:sz w:val="24"/>
                <w:szCs w:val="24"/>
                <w:lang w:val="uk-ua"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bl>
      <w:tblPr>
        <w:tblStyle w:val="TableGrid"/>
        <w:name w:val="Таблица17"/>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39" protected="0"/>
          </w:tcPr>
          <w:p>
            <w:pPr>
              <w:rPr>
                <w:szCs w:val="24"/>
                <w:lang w:val="uk-ua" w:eastAsia="uk-ua"/>
              </w:rPr>
            </w:pPr>
            <w:r>
              <w:rPr>
                <w:szCs w:val="24"/>
                <w:lang w:val="uk-ua" w:eastAsia="uk-ua"/>
              </w:rPr>
              <w:t>Публічне акціонерне товариство "Національний депозитарій України"</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РНОКПП</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УНЗР</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Організаційно-правова форма</w:t>
            </w:r>
          </w:p>
        </w:tc>
        <w:tc>
          <w:tcPr>
            <w:tcW w:w="6580" w:type="dxa"/>
            <w:vAlign w:val="center"/>
            <w:tmTcPr id="1759223739" protected="0"/>
          </w:tcPr>
          <w:p>
            <w:pPr>
              <w:rPr>
                <w:szCs w:val="24"/>
                <w:lang w:val="uk-ua" w:eastAsia="uk-ua"/>
              </w:rPr>
            </w:pPr>
            <w:r>
              <w:rPr>
                <w:szCs w:val="24"/>
                <w:lang w:val="uk-ua" w:eastAsia="uk-ua"/>
              </w:rPr>
              <w:t>Публiчне акцiонерне товариство</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39" protected="0"/>
          </w:tcPr>
          <w:p>
            <w:pPr>
              <w:rPr>
                <w:szCs w:val="24"/>
                <w:lang w:val="uk-ua" w:eastAsia="uk-ua"/>
              </w:rPr>
            </w:pPr>
            <w:r>
              <w:rPr>
                <w:szCs w:val="24"/>
                <w:lang w:val="uk-ua" w:eastAsia="uk-ua"/>
              </w:rPr>
              <w:t>30370711</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Місцезнаходження</w:t>
            </w:r>
          </w:p>
        </w:tc>
        <w:tc>
          <w:tcPr>
            <w:tcW w:w="6580" w:type="dxa"/>
            <w:vAlign w:val="center"/>
            <w:tmTcPr id="1759223739" protected="0"/>
          </w:tcPr>
          <w:p>
            <w:pPr>
              <w:rPr>
                <w:szCs w:val="24"/>
                <w:lang w:val="uk-ua" w:eastAsia="uk-ua"/>
              </w:rPr>
            </w:pPr>
            <w:r>
              <w:rPr>
                <w:szCs w:val="24"/>
                <w:lang w:val="uk-ua" w:eastAsia="uk-ua"/>
              </w:rPr>
              <w:t>04107 УКРАЇНА  д/н м.Київ вул.Тропініна, 7-г</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39" protected="0"/>
          </w:tcPr>
          <w:p>
            <w:pPr>
              <w:rPr>
                <w:szCs w:val="24"/>
                <w:lang w:val="uk-ua" w:eastAsia="uk-ua"/>
              </w:rPr>
            </w:pPr>
            <w:r>
              <w:rPr>
                <w:szCs w:val="24"/>
                <w:lang w:val="uk-ua" w:eastAsia="uk-ua"/>
              </w:rPr>
              <w:t>Рішення № 2092</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39"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39" protected="0"/>
          </w:tcPr>
          <w:p>
            <w:pPr>
              <w:rPr>
                <w:szCs w:val="24"/>
                <w:lang w:val="uk-ua" w:eastAsia="uk-ua"/>
              </w:rPr>
            </w:pPr>
            <w:r>
              <w:rPr>
                <w:szCs w:val="24"/>
                <w:lang w:val="uk-ua" w:eastAsia="uk-ua"/>
              </w:rPr>
              <w:t>01.10.2013</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Міжміський код та телефон</w:t>
            </w:r>
          </w:p>
        </w:tc>
        <w:tc>
          <w:tcPr>
            <w:tcW w:w="6580" w:type="dxa"/>
            <w:vAlign w:val="center"/>
            <w:tmTcPr id="1759223739" protected="0"/>
          </w:tcPr>
          <w:p>
            <w:pPr>
              <w:rPr>
                <w:szCs w:val="24"/>
                <w:lang w:val="uk-ua" w:eastAsia="uk-ua"/>
              </w:rPr>
            </w:pPr>
            <w:r>
              <w:rPr>
                <w:szCs w:val="24"/>
                <w:lang w:val="uk-ua" w:eastAsia="uk-ua"/>
              </w:rPr>
              <w:t>(044) 591-04-00</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39"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18.20   ТИРАЖУВАННЯ ЗВУКО-, ВІДЕОЗАПИСІВ І ПРОГРАМНОГО ЗАБЕЗПЕЧЕННЯ</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Вид послуг, які надає особа</w:t>
            </w:r>
          </w:p>
        </w:tc>
        <w:tc>
          <w:tcPr>
            <w:tcW w:w="6580" w:type="dxa"/>
            <w:vAlign w:val="center"/>
            <w:tmTcPr id="1759223739" protected="0"/>
          </w:tcPr>
          <w:p>
            <w:pPr>
              <w:rPr>
                <w:szCs w:val="24"/>
                <w:lang w:val="uk-ua" w:eastAsia="uk-ua"/>
              </w:rPr>
            </w:pPr>
            <w:r>
              <w:rPr>
                <w:szCs w:val="24"/>
                <w:lang w:val="uk-ua" w:eastAsia="uk-ua"/>
              </w:rPr>
              <w:t>Депозитарна діяльність центрального депозитарію</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18"/>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39" protected="0"/>
          </w:tcPr>
          <w:p>
            <w:pPr>
              <w:rPr>
                <w:szCs w:val="24"/>
                <w:lang w:val="uk-ua" w:eastAsia="uk-ua"/>
              </w:rPr>
            </w:pPr>
            <w:r>
              <w:rPr>
                <w:szCs w:val="24"/>
                <w:lang w:val="uk-ua" w:eastAsia="uk-ua"/>
              </w:rPr>
              <w:t>ДУ "Агентство з розвитку інфраструктури фондового ринку України"</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РНОКПП</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УНЗР</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Організаційно-правова форма</w:t>
            </w:r>
          </w:p>
        </w:tc>
        <w:tc>
          <w:tcPr>
            <w:tcW w:w="6580" w:type="dxa"/>
            <w:vAlign w:val="center"/>
            <w:tmTcPr id="1759223739" protected="0"/>
          </w:tcPr>
          <w:p>
            <w:pPr>
              <w:rPr>
                <w:szCs w:val="24"/>
                <w:lang w:val="uk-ua" w:eastAsia="uk-ua"/>
              </w:rPr>
            </w:pPr>
            <w:r>
              <w:rPr>
                <w:szCs w:val="24"/>
                <w:lang w:val="uk-ua" w:eastAsia="uk-ua"/>
              </w:rPr>
              <w:t>Державна органiзацiя (установа, заклад)</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39" protected="0"/>
          </w:tcPr>
          <w:p>
            <w:pPr>
              <w:rPr>
                <w:szCs w:val="24"/>
                <w:lang w:val="uk-ua" w:eastAsia="uk-ua"/>
              </w:rPr>
            </w:pPr>
            <w:r>
              <w:rPr>
                <w:szCs w:val="24"/>
                <w:lang w:val="uk-ua" w:eastAsia="uk-ua"/>
              </w:rPr>
              <w:t>21676262</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Місцезнаходження</w:t>
            </w:r>
          </w:p>
        </w:tc>
        <w:tc>
          <w:tcPr>
            <w:tcW w:w="6580" w:type="dxa"/>
            <w:vAlign w:val="center"/>
            <w:tmTcPr id="1759223739" protected="0"/>
          </w:tcPr>
          <w:p>
            <w:pPr>
              <w:rPr>
                <w:szCs w:val="24"/>
                <w:lang w:val="uk-ua" w:eastAsia="uk-ua"/>
              </w:rPr>
            </w:pPr>
            <w:r>
              <w:rPr>
                <w:szCs w:val="24"/>
                <w:lang w:val="uk-ua" w:eastAsia="uk-ua"/>
              </w:rPr>
              <w:t>03150 УКРАЇНА 80000 д/н м.Київ вул.Антоновича, 51, оф. 1206</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39" protected="0"/>
          </w:tcPr>
          <w:p>
            <w:pPr>
              <w:rPr>
                <w:szCs w:val="24"/>
                <w:lang w:val="uk-ua" w:eastAsia="uk-ua"/>
              </w:rPr>
            </w:pPr>
            <w:r>
              <w:rPr>
                <w:szCs w:val="24"/>
                <w:lang w:val="uk-ua" w:eastAsia="uk-ua"/>
              </w:rPr>
              <w:t>DR/00002/ARM</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39"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39" protected="0"/>
          </w:tcPr>
          <w:p>
            <w:pPr>
              <w:rPr>
                <w:szCs w:val="24"/>
                <w:lang w:val="uk-ua" w:eastAsia="uk-ua"/>
              </w:rPr>
            </w:pPr>
            <w:r>
              <w:rPr>
                <w:szCs w:val="24"/>
                <w:lang w:val="uk-ua" w:eastAsia="uk-ua"/>
              </w:rPr>
              <w:t>18.02.2019</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Міжміський код та телефон</w:t>
            </w:r>
          </w:p>
        </w:tc>
        <w:tc>
          <w:tcPr>
            <w:tcW w:w="6580" w:type="dxa"/>
            <w:vAlign w:val="center"/>
            <w:tmTcPr id="1759223739" protected="0"/>
          </w:tcPr>
          <w:p>
            <w:pPr>
              <w:rPr>
                <w:szCs w:val="24"/>
                <w:lang w:val="uk-ua" w:eastAsia="uk-ua"/>
              </w:rPr>
            </w:pPr>
            <w:r>
              <w:rPr>
                <w:szCs w:val="24"/>
                <w:lang w:val="uk-ua" w:eastAsia="uk-ua"/>
              </w:rPr>
              <w:t>(044) 287-56-70</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39"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84.13   РЕГУЛЮВАННЯ ТА СПРИЯННЯ ЕФЕКТИВНОМУ ВЕДЕННЮ ЕКОНОМІЧНОЇ ДІЯЛЬНОСТІ</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Вид послуг, які надає особа</w:t>
            </w:r>
          </w:p>
        </w:tc>
        <w:tc>
          <w:tcPr>
            <w:tcW w:w="6580" w:type="dxa"/>
            <w:vAlign w:val="center"/>
            <w:tmTcPr id="1759223739" protected="0"/>
          </w:tcPr>
          <w:p>
            <w:pPr>
              <w:rPr>
                <w:szCs w:val="24"/>
                <w:lang w:val="uk-ua" w:eastAsia="uk-ua"/>
              </w:rPr>
            </w:pPr>
            <w:r>
              <w:rPr>
                <w:szCs w:val="24"/>
                <w:lang w:val="uk-ua" w:eastAsia="uk-ua"/>
              </w:rPr>
              <w:t>Діяльність з подання звітності та/або адміністративних даних до НКЦПФР</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19"/>
        <w:tabOrder w:val="0"/>
        <w:jc w:val="left"/>
        <w:tblInd w:w="0" w:type="dxa"/>
        <w:tblW w:w="9912" w:type="dxa"/>
        <w:tblLook w:val="04A0" w:firstRow="1" w:lastRow="0" w:firstColumn="1" w:lastColumn="0" w:noHBand="0" w:noVBand="1"/>
      </w:tblPr>
      <w:tblGrid>
        <w:gridCol w:w="3331"/>
        <w:gridCol w:w="6581"/>
      </w:tblGrid>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 xml:space="preserve">Повне найменування або ім'я </w:t>
            </w:r>
          </w:p>
        </w:tc>
        <w:tc>
          <w:tcPr>
            <w:tcW w:w="6581" w:type="dxa"/>
            <w:vAlign w:val="center"/>
            <w:tmTcPr id="1759223739" protected="0"/>
          </w:tcPr>
          <w:p>
            <w:pPr>
              <w:rPr>
                <w:szCs w:val="24"/>
                <w:lang w:val="uk-ua" w:eastAsia="uk-ua"/>
              </w:rPr>
            </w:pPr>
            <w:r>
              <w:rPr>
                <w:szCs w:val="24"/>
                <w:lang w:val="uk-ua" w:eastAsia="uk-ua"/>
              </w:rPr>
              <w:t>ТОВ "АУДИТОРСЬКА ФІРМА "АУДИТ СЕРВІС ГРУП"</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РНОКПП</w:t>
            </w:r>
          </w:p>
        </w:tc>
        <w:tc>
          <w:tcPr>
            <w:tcW w:w="6581"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УНЗР</w:t>
            </w:r>
          </w:p>
        </w:tc>
        <w:tc>
          <w:tcPr>
            <w:tcW w:w="6581"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Організаційно-правова форма</w:t>
            </w:r>
          </w:p>
        </w:tc>
        <w:tc>
          <w:tcPr>
            <w:tcW w:w="6581" w:type="dxa"/>
            <w:vAlign w:val="center"/>
            <w:tmTcPr id="1759223739" protected="0"/>
          </w:tcPr>
          <w:p>
            <w:pPr>
              <w:rPr>
                <w:szCs w:val="24"/>
                <w:lang w:val="uk-ua" w:eastAsia="uk-ua"/>
              </w:rPr>
            </w:pPr>
            <w:r>
              <w:rPr>
                <w:szCs w:val="24"/>
                <w:lang w:val="uk-ua" w:eastAsia="uk-ua"/>
              </w:rPr>
              <w:t>Товариство з обмеженою вiдповiдальнiстю</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Ідентифікаційний код юридичної особи</w:t>
            </w:r>
          </w:p>
        </w:tc>
        <w:tc>
          <w:tcPr>
            <w:tcW w:w="6581" w:type="dxa"/>
            <w:vAlign w:val="center"/>
            <w:tmTcPr id="1759223739" protected="0"/>
          </w:tcPr>
          <w:p>
            <w:pPr>
              <w:rPr>
                <w:szCs w:val="24"/>
                <w:lang w:val="uk-ua" w:eastAsia="uk-ua"/>
              </w:rPr>
            </w:pPr>
            <w:r>
              <w:rPr>
                <w:szCs w:val="24"/>
                <w:lang w:val="uk-ua" w:eastAsia="uk-ua"/>
              </w:rPr>
              <w:t>31714676</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Місцезнаходження</w:t>
            </w:r>
          </w:p>
        </w:tc>
        <w:tc>
          <w:tcPr>
            <w:tcW w:w="6581" w:type="dxa"/>
            <w:vAlign w:val="center"/>
            <w:tmTcPr id="1759223739" protected="0"/>
          </w:tcPr>
          <w:p>
            <w:pPr>
              <w:rPr>
                <w:szCs w:val="24"/>
                <w:lang w:val="uk-ua" w:eastAsia="uk-ua"/>
              </w:rPr>
            </w:pPr>
            <w:r>
              <w:rPr>
                <w:szCs w:val="24"/>
                <w:lang w:val="uk-ua" w:eastAsia="uk-ua"/>
              </w:rPr>
              <w:t>01030 УКРАЇНА  д/н м.Київ вулиця Івана Франка, буд.42Б, офіс 203</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1" w:type="dxa"/>
            <w:vAlign w:val="center"/>
            <w:tmTcPr id="1759223739" protected="0"/>
          </w:tcPr>
          <w:p>
            <w:pPr>
              <w:rPr>
                <w:szCs w:val="24"/>
                <w:lang w:val="uk-ua" w:eastAsia="uk-ua"/>
              </w:rPr>
            </w:pPr>
            <w:r>
              <w:rPr>
                <w:szCs w:val="24"/>
                <w:lang w:val="uk-ua" w:eastAsia="uk-ua"/>
              </w:rPr>
              <w:t>№ 2738</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1" w:type="dxa"/>
            <w:vAlign w:val="center"/>
            <w:tmTcPr id="1759223739" protected="0"/>
          </w:tcPr>
          <w:p>
            <w:pPr>
              <w:rPr>
                <w:szCs w:val="24"/>
                <w:lang w:val="uk-ua" w:eastAsia="uk-ua"/>
              </w:rPr>
            </w:pPr>
            <w:r>
              <w:rPr>
                <w:szCs w:val="24"/>
                <w:lang w:val="uk-ua" w:eastAsia="uk-ua"/>
              </w:rPr>
              <w:t>Аудиторська палата України</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Дата видачі ліцензії або іншого документа</w:t>
            </w:r>
          </w:p>
        </w:tc>
        <w:tc>
          <w:tcPr>
            <w:tcW w:w="6581" w:type="dxa"/>
            <w:vAlign w:val="center"/>
            <w:tmTcPr id="1759223739" protected="0"/>
          </w:tcPr>
          <w:p>
            <w:pPr>
              <w:rPr>
                <w:szCs w:val="24"/>
                <w:lang w:val="uk-ua" w:eastAsia="uk-ua"/>
              </w:rPr>
            </w:pPr>
            <w:r>
              <w:rPr>
                <w:szCs w:val="24"/>
                <w:lang w:val="uk-ua" w:eastAsia="uk-ua"/>
              </w:rPr>
              <w:t>30.11.2001</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Міжміський код та телефон</w:t>
            </w:r>
          </w:p>
        </w:tc>
        <w:tc>
          <w:tcPr>
            <w:tcW w:w="6581" w:type="dxa"/>
            <w:vAlign w:val="center"/>
            <w:tmTcPr id="1759223739" protected="0"/>
          </w:tcPr>
          <w:p>
            <w:pPr>
              <w:rPr>
                <w:szCs w:val="24"/>
                <w:lang w:val="uk-ua" w:eastAsia="uk-ua"/>
              </w:rPr>
            </w:pPr>
            <w:r>
              <w:rPr>
                <w:szCs w:val="24"/>
                <w:lang w:val="uk-ua" w:eastAsia="uk-ua"/>
              </w:rPr>
              <w:t>0442218116</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1" w:type="dxa"/>
            <w:vAlign w:val="center"/>
            <w:tmTcPr id="1759223739" protected="0"/>
          </w:tcPr>
          <w:p>
            <w:pPr>
              <w:rPr>
                <w:szCs w:val="24"/>
                <w:lang w:val="uk-ua" w:eastAsia="uk-ua"/>
              </w:rPr>
            </w:pPr>
            <w:r>
              <w:rPr>
                <w:szCs w:val="24"/>
                <w:lang w:val="uk-ua" w:eastAsia="uk-ua"/>
              </w:rPr>
              <w:t>69.20   ДІЯЛЬНІСТЬ У СФЕРІ БУХГАЛТЕРСЬКОГО ОБЛІКУ Й АУДИТУ; КОНСУЛЬТУВАННЯ З ПИТАНЬ ОПОДАТКУВАННЯ</w:t>
            </w:r>
          </w:p>
        </w:tc>
      </w:tr>
      <w:tr>
        <w:trPr>
          <w:cantSplit w:val="0"/>
          <w:trHeight w:val="360" w:hRule="atLeast"/>
        </w:trPr>
        <w:tc>
          <w:tcPr>
            <w:tcW w:w="3331" w:type="dxa"/>
            <w:vAlign w:val="center"/>
            <w:tmTcPr id="1759223739" protected="0"/>
          </w:tcPr>
          <w:p>
            <w:pPr>
              <w:rPr>
                <w:b/>
                <w:szCs w:val="24"/>
                <w:lang w:val="uk-ua" w:eastAsia="uk-ua"/>
              </w:rPr>
            </w:pPr>
            <w:r>
              <w:rPr>
                <w:b/>
                <w:szCs w:val="24"/>
                <w:lang w:val="uk-ua" w:eastAsia="uk-ua"/>
              </w:rPr>
              <w:t>Вид послуг, які надає особа</w:t>
            </w:r>
          </w:p>
        </w:tc>
        <w:tc>
          <w:tcPr>
            <w:tcW w:w="6581" w:type="dxa"/>
            <w:vAlign w:val="center"/>
            <w:tmTcPr id="1759223739" protected="0"/>
          </w:tcPr>
          <w:p>
            <w:pPr>
              <w:rPr>
                <w:szCs w:val="24"/>
                <w:lang w:val="uk-ua" w:eastAsia="uk-ua"/>
              </w:rPr>
            </w:pPr>
            <w:r>
              <w:rPr>
                <w:szCs w:val="24"/>
                <w:lang w:val="uk-ua" w:eastAsia="uk-ua"/>
              </w:rPr>
              <w:t>Аудитор (аудиторська фірма), що надає аудиторські послуги емітенту</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20"/>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39" protected="0"/>
          </w:tcPr>
          <w:p>
            <w:pPr>
              <w:rPr>
                <w:szCs w:val="24"/>
                <w:lang w:val="uk-ua" w:eastAsia="uk-ua"/>
              </w:rPr>
            </w:pPr>
            <w:r>
              <w:rPr>
                <w:szCs w:val="24"/>
                <w:lang w:val="uk-ua" w:eastAsia="uk-ua"/>
              </w:rPr>
              <w:t>Публічне акціонерне товариство "Національний депозитарій України"</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РНОКПП</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УНЗР</w:t>
            </w:r>
          </w:p>
        </w:tc>
        <w:tc>
          <w:tcPr>
            <w:tcW w:w="6580" w:type="dxa"/>
            <w:vAlign w:val="center"/>
            <w:tmTcPr id="1759223739"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Організаційно-правова форма</w:t>
            </w:r>
          </w:p>
        </w:tc>
        <w:tc>
          <w:tcPr>
            <w:tcW w:w="6580" w:type="dxa"/>
            <w:vAlign w:val="center"/>
            <w:tmTcPr id="1759223739" protected="0"/>
          </w:tcPr>
          <w:p>
            <w:pPr>
              <w:rPr>
                <w:szCs w:val="24"/>
                <w:lang w:val="uk-ua" w:eastAsia="uk-ua"/>
              </w:rPr>
            </w:pPr>
            <w:r>
              <w:rPr>
                <w:szCs w:val="24"/>
                <w:lang w:val="uk-ua" w:eastAsia="uk-ua"/>
              </w:rPr>
              <w:t>Публiчне акцiонерне товариство</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39" protected="0"/>
          </w:tcPr>
          <w:p>
            <w:pPr>
              <w:rPr>
                <w:szCs w:val="24"/>
                <w:lang w:val="uk-ua" w:eastAsia="uk-ua"/>
              </w:rPr>
            </w:pPr>
            <w:r>
              <w:rPr>
                <w:szCs w:val="24"/>
                <w:lang w:val="uk-ua" w:eastAsia="uk-ua"/>
              </w:rPr>
              <w:t>30370711</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Місцезнаходження</w:t>
            </w:r>
          </w:p>
        </w:tc>
        <w:tc>
          <w:tcPr>
            <w:tcW w:w="6580" w:type="dxa"/>
            <w:vAlign w:val="center"/>
            <w:tmTcPr id="1759223739" protected="0"/>
          </w:tcPr>
          <w:p>
            <w:pPr>
              <w:rPr>
                <w:szCs w:val="24"/>
                <w:lang w:val="uk-ua" w:eastAsia="uk-ua"/>
              </w:rPr>
            </w:pPr>
            <w:r>
              <w:rPr>
                <w:szCs w:val="24"/>
                <w:lang w:val="uk-ua" w:eastAsia="uk-ua"/>
              </w:rPr>
              <w:t>04107 УКРАЇНА   м.Київ вул.Якубенківська, 7-г</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39" protected="0"/>
          </w:tcPr>
          <w:p>
            <w:pPr>
              <w:rPr>
                <w:szCs w:val="24"/>
                <w:lang w:val="uk-ua" w:eastAsia="uk-ua"/>
              </w:rPr>
            </w:pPr>
            <w:r>
              <w:rPr>
                <w:szCs w:val="24"/>
                <w:lang w:val="uk-ua" w:eastAsia="uk-ua"/>
              </w:rPr>
              <w:t>Рішення № 2092</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39"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39" protected="0"/>
          </w:tcPr>
          <w:p>
            <w:pPr>
              <w:rPr>
                <w:szCs w:val="24"/>
                <w:lang w:val="uk-ua" w:eastAsia="uk-ua"/>
              </w:rPr>
            </w:pPr>
            <w:r>
              <w:rPr>
                <w:szCs w:val="24"/>
                <w:lang w:val="uk-ua" w:eastAsia="uk-ua"/>
              </w:rPr>
              <w:t>01.10.2013</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Міжміський код та телефон</w:t>
            </w:r>
          </w:p>
        </w:tc>
        <w:tc>
          <w:tcPr>
            <w:tcW w:w="6580" w:type="dxa"/>
            <w:vAlign w:val="center"/>
            <w:tmTcPr id="1759223739" protected="0"/>
          </w:tcPr>
          <w:p>
            <w:pPr>
              <w:rPr>
                <w:szCs w:val="24"/>
                <w:lang w:val="uk-ua" w:eastAsia="uk-ua"/>
              </w:rPr>
            </w:pPr>
            <w:r>
              <w:rPr>
                <w:szCs w:val="24"/>
                <w:lang w:val="uk-ua" w:eastAsia="uk-ua"/>
              </w:rPr>
              <w:t>(044) 363-04-00</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39"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18.20   ТИРАЖУВАННЯ ЗВУКО-, ВІДЕОЗАПИСІВ І ПРОГРАМНОГО ЗАБЕЗПЕЧЕННЯ</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39" protected="0"/>
          </w:tcPr>
          <w:p>
            <w:pPr>
              <w:rPr>
                <w:b/>
                <w:szCs w:val="24"/>
                <w:lang w:val="uk-ua" w:eastAsia="uk-ua"/>
              </w:rPr>
            </w:pPr>
            <w:r>
              <w:rPr>
                <w:b/>
                <w:szCs w:val="24"/>
                <w:lang w:val="uk-ua" w:eastAsia="uk-ua"/>
              </w:rPr>
              <w:t>Вид послуг, які надає особа</w:t>
            </w:r>
          </w:p>
        </w:tc>
        <w:tc>
          <w:tcPr>
            <w:tcW w:w="6580" w:type="dxa"/>
            <w:vAlign w:val="center"/>
            <w:tmTcPr id="1759223739" protected="0"/>
          </w:tcPr>
          <w:p>
            <w:pPr>
              <w:rPr>
                <w:szCs w:val="24"/>
                <w:lang w:val="uk-ua" w:eastAsia="uk-ua"/>
              </w:rPr>
            </w:pPr>
            <w:r>
              <w:rPr>
                <w:szCs w:val="24"/>
                <w:lang w:val="uk-ua" w:eastAsia="uk-ua"/>
              </w:rPr>
              <w:t>Депозитарна діяльність центрального депозитарію</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8"/>
          <w:footerReference w:type="default" r:id="rId19"/>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sz w:val="28"/>
          <w:szCs w:val="28"/>
          <w:lang w:val="uk-ua" w:eastAsia="uk-ua"/>
        </w:rPr>
      </w:pPr>
      <w:r/>
      <w:bookmarkStart w:id="7" w:name="_Toc210041589"/>
      <w:r/>
      <w:r>
        <w:rPr>
          <w:rFonts w:ascii="Times New Roman" w:hAnsi="Times New Roman" w:eastAsia="Times New Roman"/>
          <w:b/>
          <w:bCs/>
          <w:sz w:val="28"/>
          <w:szCs w:val="28"/>
          <w:lang w:val="uk-ua" w:eastAsia="uk-ua"/>
        </w:rPr>
        <w:t>II. Інформація щодо капіталу та цінних паперів</w:t>
      </w:r>
      <w:r/>
      <w:bookmarkEnd w:id="7"/>
      <w:r/>
      <w:r>
        <w:rPr>
          <w:rFonts w:ascii="Times New Roman" w:hAnsi="Times New Roman" w:eastAsia="Times New Roman"/>
          <w:b/>
          <w:bCs/>
          <w:sz w:val="28"/>
          <w:szCs w:val="28"/>
          <w:lang w:val="uk-ua" w:eastAsia="uk-ua"/>
        </w:rPr>
      </w:r>
    </w:p>
    <w:p>
      <w:pPr>
        <w:spacing w:before="240" w:after="60" w:line="240" w:lineRule="auto"/>
        <w:jc w:val="center"/>
        <w:outlineLvl w:val="0"/>
        <w:rPr>
          <w:rFonts w:ascii="Times New Roman" w:hAnsi="Times New Roman" w:eastAsia="Times New Roman"/>
          <w:b/>
          <w:bCs/>
          <w:vanish w:val="1"/>
          <w:color w:val="000000"/>
          <w:kern w:val="0"/>
          <w:sz w:val="24"/>
          <w:szCs w:val="24"/>
          <w:lang w:val="uk-ua" w:eastAsia="uk-ua"/>
        </w:rPr>
      </w:pPr>
      <w:r/>
      <w:bookmarkStart w:id="8" w:name="_Toc210041590"/>
      <w:r/>
      <w:r>
        <w:rPr>
          <w:rFonts w:ascii="Times New Roman" w:hAnsi="Times New Roman" w:eastAsia="Times New Roman"/>
          <w:b/>
          <w:bCs/>
          <w:kern w:val="0"/>
          <w:sz w:val="24"/>
          <w:szCs w:val="24"/>
          <w:lang w:val="uk-ua" w:eastAsia="uk-ua"/>
        </w:rPr>
        <w:t>1. Структура капіталу</w:t>
      </w:r>
      <w:r/>
      <w:bookmarkEnd w:id="8"/>
      <w:r/>
      <w:r>
        <w:rPr>
          <w:rFonts w:ascii="Times New Roman" w:hAnsi="Times New Roman" w:eastAsia="Times New Roman"/>
          <w:b/>
          <w:bCs/>
          <w:vanish w:val="1"/>
          <w:color w:val="000000"/>
          <w:kern w:val="0"/>
          <w:sz w:val="24"/>
          <w:szCs w:val="24"/>
          <w:lang w:val="uk-ua" w:eastAsia="uk-ua"/>
        </w:rPr>
      </w:r>
    </w:p>
    <w:p>
      <w:pPr>
        <w:spacing w:after="0" w:line="240" w:lineRule="auto"/>
        <w:rPr>
          <w:rFonts w:ascii="Times New Roman" w:hAnsi="Times New Roman" w:eastAsia="Times New Roman"/>
          <w:vanish w:val="1"/>
          <w:color w:val="000000"/>
          <w:sz w:val="24"/>
          <w:szCs w:val="24"/>
          <w:lang w:val="uk-ua" w:eastAsia="uk-ua"/>
        </w:rPr>
      </w:pPr>
      <w:r>
        <w:rPr>
          <w:rFonts w:ascii="Times New Roman" w:hAnsi="Times New Roman" w:eastAsia="Times New Roman"/>
          <w:vanish w:val="1"/>
          <w:color w:val="000000"/>
          <w:sz w:val="24"/>
          <w:szCs w:val="24"/>
          <w:lang w:val="uk-ua" w:eastAsia="uk-ua"/>
        </w:rPr>
      </w:r>
    </w:p>
    <w:tbl>
      <w:tblPr>
        <w:tblStyle w:val="NormalTable"/>
        <w:name w:val="Таблица21"/>
        <w:tabOrder w:val="0"/>
        <w:jc w:val="left"/>
        <w:tblInd w:w="195" w:type="dxa"/>
        <w:tblW w:w="15838" w:type="dxa"/>
        <w:tblLook w:val="0000" w:firstRow="0" w:lastRow="0" w:firstColumn="0" w:lastColumn="0" w:noHBand="0" w:noVBand="0"/>
      </w:tblPr>
      <w:tblGrid>
        <w:gridCol w:w="460"/>
        <w:gridCol w:w="2479"/>
        <w:gridCol w:w="1977"/>
        <w:gridCol w:w="1567"/>
        <w:gridCol w:w="1417"/>
        <w:gridCol w:w="3133"/>
        <w:gridCol w:w="2537"/>
        <w:gridCol w:w="2268"/>
      </w:tblGrid>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w:t>
            </w:r>
          </w:p>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з/п</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Тип та/або клас акцій</w:t>
            </w:r>
            <w:r>
              <w:rPr>
                <w:rFonts w:ascii="Times New Roman" w:hAnsi="Times New Roman" w:eastAsia="Times New Roman"/>
                <w:b/>
                <w:bCs/>
                <w:sz w:val="20"/>
                <w:szCs w:val="20"/>
                <w:lang w:val="uk-ua" w:eastAsia="uk-ua"/>
              </w:rPr>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42" w:firstLine="142"/>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Номер свідоцтва про реєстрацію випуску</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42" w:firstLine="142"/>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Кількість акцій (шт.)</w:t>
            </w:r>
            <w:r>
              <w:rPr>
                <w:rFonts w:ascii="Times New Roman" w:hAnsi="Times New Roman" w:eastAsia="Times New Roman"/>
                <w:b/>
                <w:bCs/>
                <w:sz w:val="20"/>
                <w:szCs w:val="20"/>
                <w:lang w:val="uk-ua" w:eastAsia="uk-ua"/>
              </w:rPr>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Номінальна вартість (грн)</w:t>
            </w:r>
            <w:r>
              <w:rPr>
                <w:rFonts w:ascii="Times New Roman" w:hAnsi="Times New Roman" w:eastAsia="Times New Roman"/>
                <w:b/>
                <w:bCs/>
                <w:sz w:val="20"/>
                <w:szCs w:val="20"/>
                <w:lang w:val="uk-ua" w:eastAsia="uk-ua"/>
              </w:rPr>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Права та обов'язки</w:t>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Облік часток особи в обліковій системі часток</w:t>
            </w:r>
            <w:r>
              <w:rPr>
                <w:rFonts w:ascii="Times New Roman" w:hAnsi="Times New Roman" w:eastAsia="Times New Roman"/>
                <w:b/>
                <w:bCs/>
                <w:sz w:val="20"/>
                <w:szCs w:val="20"/>
                <w:lang w:val="uk-ua" w:eastAsia="uk-ua"/>
              </w:rPr>
            </w:r>
          </w:p>
        </w:tc>
      </w:tr>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5</w:t>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6</w:t>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7</w:t>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8</w:t>
            </w:r>
          </w:p>
        </w:tc>
      </w:tr>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Акції прості іменні</w:t>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61/1/11</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15826400</w:t>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0.25</w:t>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Акціонери Товариства мають право:</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Брати участь в управлінні справами Товариства у порядку, передбаченому цим Статутом самостійно, а також через свого представника на загальних зборах акціонерів Товариства, замінити свого представника (постійного або тимчасового) в будь-який час, направляти на загальні збори Товариства свого представника (постійного або тимчасового). На представника може видаватися безвідклична довіреність.</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Вийти зі складу акціонерів Товариства у порядку згідно з діючим законодавством України.</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Отримувати інформацію про господарську діяльність Товариства та мати доступ до документації Товариства в обсягах та в порядку, встановлених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Приймати участь в діяльності Товариства, передбаченій цим Статутом.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Вимагати розгляду відповідних питань на загальних зборах акціонерів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Акціонери, що володіють у сукупності не менш як 10 % голосів мають право вимагати від Ревізора перевірки фінансово-господарської діяльності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Звертатися в суд із позовом про визнання недійсними рішень загальних зборів акціонерів Товариства, які були винесені в порушення Закону, Статуту Товариства або про визнання недійсними договорів (угод), які були укладені Правлінням, або іншою особою за виданою Головою правління довіреністю (дорученням), з перевищенням повноважень, або без отримання попередньої згоди акціонерів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Приймати участь в розподілу прибутку Товариства та одержувати дивіденди пропорційно частки у статутному капіталі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Отримати частину грошових коштів, що належать Товариству, включаючи виручку від розпродажу його майна при ліквідації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Виносити на розгляд загальних зборів акціонерів питання стосовно призначення або звільнення з посади Голови 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Розпоряджатися своїми акціями у відповідності до цього Статуту та чинного законодавства.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Обирати органи управління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Укладати договори між акціонерами, предметом  яких є  реалізація акціонерами - власниками простих та привілейованих акцій прав на акції та/або прав за акціями, передбачених законодавством, цим статутом та іншими внутрішніми документами Товариства. Вимоги до форми таких договорів, їх змісту та порядку укладання встановлюються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Акціонер Товариства зобов'язаний:</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Додержуватися Статуту Товариства і виконувати рішення загальних зборів акціонерів Товариства та інших органів управління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Повністю внести внески (оплатити акції) у розмірі, порядку та засобами згідно до Статуту Товариства та чинного законодавства України.</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Не розголошувати комерційну таємницю та конфіденційну інформацію про діяльність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Виконувати прийняті на себе обов'язки по відношенню до Товариства, сприяти Товариству в здійсненні ним своєї діяльності, не розголошувати конфіденційну інформацію про діяльність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Надавати Товариству інформацію, необхідну для ефективної його діяльності.</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Утримуватися від дій, що можуть заподіяти шкоду діловій репутації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На вимогу акціонерів Товариства, що володіють сукупно не менш як 10% голосів може бути проведено спеціальну аудиторську перевірку річної фінансової звітності Товариства із залученням професійного аудитора, не пов'язаного майновими інтересами з Товариством чи його акціонерами. Витрати, пов'язані з проведенням такої перевірки, покладаються на Товариство, якщо інше рішення не буде прийняте загальними зборами акціонерів.</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 у строки, встановлені загальними зборами акціонерів, але не пізніше дня затвердження результатів розміщення акцій уповноваженим органом, зобов'язаний оплатити повну вартість акцій. У разі несплати у встановлений строк договір купівлі-продажу вважається недійсним, акції пропонуються до продажу іншій особі відповідно до умов розміщення.</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Акціонери мають право дарувати, заставляти, або іншим не забороненим чинним законодавством України способом без будь-яких обмежень відчужувати всі або частину належним їм Акцій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Призначати своїх представників для Нагляду за реєстрацією акціонерів, проведенням загальних зборів акціонерів, голосуванням та підбиттям його підсумків в порядку, встановленому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Кожний акціонер Товариства має право вимагати здійснення обов'язкового викупу Товариством належних йому голосуючих акцій, а Товариство зобов'язане викупити належні акціонеру акції, якщо він зареєструвався для участі у Загальних зборах та голосував проти прийняття Загальними зборами рішення про: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злиття, приєднання, поділ, перетворення, виділ Товариства;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вчинення Товариством значного правочину;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зміну розміру статутного капіталу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Публ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чна пропозиц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до 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ржового реєстру не включен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ку часток Товариства 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систем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часток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у зв'язку з тим, що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не є товариством з обмеженою або додатковою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дальн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стю</w:t>
            </w:r>
            <w:r>
              <w:rPr>
                <w:rFonts w:ascii="Times New Roman" w:hAnsi="Times New Roman" w:eastAsia="Times New Roman"/>
                <w:sz w:val="20"/>
                <w:szCs w:val="20"/>
                <w:lang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40" w:lineRule="auto"/>
        <w:jc w:val="center"/>
        <w:outlineLvl w:val="0"/>
        <w:rPr>
          <w:rFonts w:ascii="Times New Roman" w:hAnsi="Times New Roman" w:eastAsia="Times New Roman"/>
          <w:b/>
          <w:bCs/>
          <w:kern w:val="0"/>
          <w:sz w:val="26"/>
          <w:szCs w:val="26"/>
          <w:lang w:val="uk-ua" w:eastAsia="uk-ua"/>
        </w:rPr>
      </w:pPr>
      <w:r/>
      <w:bookmarkStart w:id="9" w:name="_Toc210041591"/>
      <w:r/>
      <w:r>
        <w:rPr>
          <w:rFonts w:ascii="Times New Roman" w:hAnsi="Times New Roman" w:eastAsia="Times New Roman"/>
          <w:b/>
          <w:bCs/>
          <w:kern w:val="0"/>
          <w:sz w:val="26"/>
          <w:szCs w:val="26"/>
          <w:lang w:val="uk-ua" w:eastAsia="uk-ua"/>
        </w:rPr>
        <w:t>3. Цінні папери</w:t>
      </w:r>
      <w:r/>
      <w:bookmarkEnd w:id="9"/>
      <w:r/>
      <w:r>
        <w:rPr>
          <w:rFonts w:ascii="Times New Roman" w:hAnsi="Times New Roman" w:eastAsia="Times New Roman"/>
          <w:b/>
          <w:bCs/>
          <w:kern w:val="0"/>
          <w:sz w:val="26"/>
          <w:szCs w:val="26"/>
          <w:lang w:val="uk-ua" w:eastAsia="uk-ua"/>
        </w:rPr>
      </w: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про випуски акцій особи</w:t>
      </w:r>
    </w:p>
    <w:p>
      <w:pPr>
        <w:spacing w:after="0" w:line="240" w:lineRule="auto"/>
        <w:jc w:val="center"/>
        <w:rPr>
          <w:rFonts w:ascii="Times New Roman" w:hAnsi="Times New Roman" w:eastAsia="Times New Roman"/>
          <w:vanish w:val="1"/>
          <w:color w:val="000000"/>
          <w:sz w:val="8"/>
          <w:szCs w:val="8"/>
          <w:lang w:val="uk-ua" w:eastAsia="uk-ua"/>
        </w:rPr>
      </w:pPr>
      <w:r>
        <w:rPr>
          <w:rFonts w:ascii="Times New Roman" w:hAnsi="Times New Roman" w:eastAsia="Times New Roman"/>
          <w:vanish w:val="1"/>
          <w:color w:val="000000"/>
          <w:sz w:val="8"/>
          <w:szCs w:val="8"/>
          <w:lang w:val="uk-ua" w:eastAsia="uk-ua"/>
        </w:rPr>
      </w:r>
    </w:p>
    <w:tbl>
      <w:tblPr>
        <w:tblStyle w:val="NormalTable"/>
        <w:name w:val="Таблица22"/>
        <w:tabOrder w:val="0"/>
        <w:jc w:val="left"/>
        <w:tblInd w:w="240" w:type="dxa"/>
        <w:tblW w:w="15870" w:type="dxa"/>
        <w:tblLook w:val="0000" w:firstRow="0" w:lastRow="0" w:firstColumn="0" w:lastColumn="0" w:noHBand="0" w:noVBand="0"/>
      </w:tblPr>
      <w:tblGrid>
        <w:gridCol w:w="1379"/>
        <w:gridCol w:w="1679"/>
        <w:gridCol w:w="1579"/>
        <w:gridCol w:w="1842"/>
        <w:gridCol w:w="1700"/>
        <w:gridCol w:w="1922"/>
        <w:gridCol w:w="1412"/>
        <w:gridCol w:w="1469"/>
        <w:gridCol w:w="1513"/>
        <w:gridCol w:w="1375"/>
      </w:tblGrid>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реєстрації випуску</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Номер свідоцтва про реєстрацію випуску</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Найменування органу, що зареєстрував випуск</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Міжнародний ідентифікаційний номер</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Тип цінного паперу</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Форма існування та форма випуску</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Номінальна вартість акцій (грн.)</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акцій (штук)</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Загальна номінальна вартість (грн.)</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Частка у статутному капіталі (у відсотках)</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2</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4</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5</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6</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7</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9</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10</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25.01.2011</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61/1/11</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Державна комісія з  цінних паперів та фондового ринку</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UA4000110167</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Акція проста електронна іменна</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Електроннi iменнi</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0.25</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15826400</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3956600.00</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100.00000000</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Опис</w:t>
            </w:r>
          </w:p>
        </w:tc>
        <w:tc>
          <w:tcPr>
            <w:tcW w:w="14493" w:type="dxa"/>
            <w:gridSpan w:val="9"/>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Cs/>
                <w:sz w:val="20"/>
                <w:szCs w:val="20"/>
                <w:lang w:val="uk-ua" w:eastAsia="uk-ua"/>
              </w:rPr>
              <w:t>Відбулася зміна свідоцтва про реєстрацію випуску акцій. Свiдоцтво про реєстрацiю випуску акцiй № 53/1/02 вiд 04.02.2002 року, видане Державною комiсiєю з цiнних паперiв та фондового ринку, скасовано у зв'язку з дематеріалізацією випуску акцій. Торгівля акціями на внутрішніх та зовнішніх ринках не здійснювалась; лістинг/делістинг акцій на фондових біржах не проводився; додаткова емісія та викуп цінних паперів протягом звітного року не відбувались. Всі акції розповсюджені та оплачені. Акції власної емісії протягом звітного року не викупались. Спосіб розміщення - відкрита підписка в процесі приватизації. Мета розмiщення цiнних паперiв - поповнення обiгових коштiв Товариства.</w:t>
            </w:r>
            <w:r>
              <w:rPr>
                <w:rFonts w:ascii="Times New Roman" w:hAnsi="Times New Roman" w:eastAsia="Times New Roman"/>
                <w:b/>
                <w:bCs/>
                <w:sz w:val="20"/>
                <w:szCs w:val="20"/>
                <w:lang w:val="uk-ua"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Уточнення щодо наявності обмежень за акціями</w:t>
      </w:r>
    </w:p>
    <w:tbl>
      <w:tblPr>
        <w:tblStyle w:val="NormalTable"/>
        <w:name w:val="Таблица23"/>
        <w:tabOrder w:val="0"/>
        <w:jc w:val="left"/>
        <w:tblInd w:w="0" w:type="dxa"/>
        <w:tblW w:w="16111" w:type="dxa"/>
        <w:tblLook w:val="0000" w:firstRow="0" w:lastRow="0" w:firstColumn="0" w:lastColumn="0" w:noHBand="0" w:noVBand="0"/>
      </w:tblPr>
      <w:tblGrid>
        <w:gridCol w:w="3931"/>
        <w:gridCol w:w="4221"/>
        <w:gridCol w:w="3947"/>
        <w:gridCol w:w="4012"/>
      </w:tblGrid>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Міжнародний ідентифікаційний номер</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акцій (з них голосуючих), шт.</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викуплених акцій</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акцій прирівняних до викуплених), шт.</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інших не голосуючих акцій, шт.</w:t>
            </w:r>
          </w:p>
        </w:tc>
      </w:tr>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1</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2</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3</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4</w:t>
            </w:r>
          </w:p>
        </w:tc>
      </w:tr>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UA4000110167</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15298070</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w:t>
            </w:r>
          </w:p>
        </w:tc>
      </w:tr>
    </w:tbl>
    <w:p>
      <w:pPr>
        <w:spacing w:after="0"/>
        <w:rPr>
          <w:rFonts w:ascii="Times New Roman" w:hAnsi="Times New Roman" w:eastAsia="Times New Roman"/>
          <w:lang w:val="en-us" w:eastAsia="uk-ua"/>
        </w:rPr>
      </w:pPr>
      <w:r>
        <w:rPr>
          <w:rFonts w:ascii="Times New Roman" w:hAnsi="Times New Roman" w:eastAsia="Times New Roman"/>
          <w:lang w:val="en-us" w:eastAsia="uk-ua"/>
        </w:rPr>
      </w:r>
    </w:p>
    <w:p>
      <w:pPr>
        <w:spacing w:before="170"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Style w:val="NormalTable"/>
        <w:name w:val="Таблица24"/>
        <w:tabOrder w:val="0"/>
        <w:jc w:val="left"/>
        <w:tblInd w:w="0" w:type="dxa"/>
        <w:tblW w:w="15842" w:type="dxa"/>
        <w:tblLook w:val="01E0" w:firstRow="1" w:lastRow="1" w:firstColumn="1" w:lastColumn="1" w:noHBand="0" w:noVBand="0"/>
      </w:tblPr>
      <w:tblGrid>
        <w:gridCol w:w="1384"/>
        <w:gridCol w:w="1843"/>
        <w:gridCol w:w="1907"/>
        <w:gridCol w:w="2141"/>
        <w:gridCol w:w="2142"/>
        <w:gridCol w:w="2141"/>
        <w:gridCol w:w="2142"/>
        <w:gridCol w:w="2142"/>
      </w:tblGrid>
      <w:tr>
        <w:trPr>
          <w:cantSplit w:val="0"/>
          <w:trHeight w:val="1214"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Дата реєстрації випуску</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Номер свідоцтва про реєстрацію випуску</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Міжнародний ідентифікаційний номер</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у випуску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Загальна номінальна вартість (грн)</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Загальна кількість голосуючих акцій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голосуючих акцій, права голосу за якими обмежено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tabs defTabSz="708">
                <w:tab w:val="left" w:pos="1035" w:leader="none"/>
              </w:tabs>
              <w:rPr>
                <w:rFonts w:ascii="Times New Roman" w:hAnsi="Times New Roman" w:eastAsia="Times New Roman"/>
                <w:b/>
                <w:color w:val="000000"/>
                <w:sz w:val="18"/>
                <w:szCs w:val="18"/>
                <w:noProof w:val="1"/>
                <w:lang w:eastAsia="uk-ua"/>
              </w:rPr>
            </w:pPr>
            <w:r>
              <w:rPr>
                <w:rFonts w:ascii="Times New Roman" w:hAnsi="Times New Roman" w:eastAsia="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r>
              <w:rPr>
                <w:rFonts w:ascii="Times New Roman" w:hAnsi="Times New Roman" w:eastAsia="Times New Roman"/>
                <w:b/>
                <w:color w:val="000000"/>
                <w:sz w:val="18"/>
                <w:szCs w:val="18"/>
                <w:noProof w:val="1"/>
                <w:lang w:eastAsia="uk-ua"/>
              </w:rPr>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1</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2</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3</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4</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5</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6</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7</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8</w:t>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25.01.2011</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61/1/11</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UA4000110167</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15826400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3956600.00</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15298070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w:t>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Додаткова інформація</w:t>
            </w:r>
          </w:p>
        </w:tc>
        <w:tc>
          <w:tcPr>
            <w:tcW w:w="14458" w:type="dxa"/>
            <w:gridSpan w:val="7"/>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Номер рішення суду або уповноваженого державного органу, яким накладено обмеження : д/н</w:t>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Cтрок обмеження : д/н</w:t>
            </w:r>
          </w:p>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sz w:val="20"/>
                <w:szCs w:val="20"/>
                <w:lang w:val="uk-ua" w:eastAsia="uk-ua"/>
              </w:rPr>
              <w:t>Характеристика обмеження : д/н</w:t>
            </w:r>
            <w:r>
              <w:rPr>
                <w:rFonts w:ascii="Times New Roman" w:hAnsi="Times New Roman" w:eastAsia="Times New Roman"/>
                <w:b/>
                <w:sz w:val="20"/>
                <w:szCs w:val="20"/>
                <w:lang w:val="uk-ua" w:eastAsia="uk-ua"/>
              </w:rPr>
            </w:r>
          </w:p>
        </w:tc>
      </w:tr>
    </w:tbl>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spacing w:after="60" w:line="240" w:lineRule="auto"/>
        <w:jc w:val="center"/>
        <w:outlineLvl w:val="0"/>
        <w:rPr>
          <w:rFonts w:ascii="Times New Roman" w:hAnsi="Times New Roman" w:eastAsia="Times New Roman"/>
          <w:b/>
          <w:bCs/>
          <w:sz w:val="28"/>
          <w:szCs w:val="28"/>
          <w:lang w:val="uk-ua" w:eastAsia="uk-ua"/>
        </w:rPr>
      </w:pPr>
      <w:r/>
      <w:bookmarkStart w:id="10" w:name="_Toc210041592"/>
      <w:r/>
      <w:r>
        <w:rPr>
          <w:rFonts w:ascii="Times New Roman" w:hAnsi="Times New Roman" w:eastAsia="Times New Roman"/>
          <w:b/>
          <w:bCs/>
          <w:sz w:val="28"/>
          <w:szCs w:val="28"/>
          <w:lang w:val="en-us" w:eastAsia="uk-ua"/>
        </w:rPr>
        <w:t>III</w:t>
      </w:r>
      <w:r>
        <w:rPr>
          <w:rFonts w:ascii="Times New Roman" w:hAnsi="Times New Roman" w:eastAsia="Times New Roman"/>
          <w:b/>
          <w:bCs/>
          <w:sz w:val="28"/>
          <w:szCs w:val="28"/>
          <w:lang w:eastAsia="uk-ua"/>
        </w:rPr>
        <w:t xml:space="preserve">. </w:t>
      </w:r>
      <w:r>
        <w:rPr>
          <w:rFonts w:ascii="Times New Roman" w:hAnsi="Times New Roman" w:eastAsia="Times New Roman"/>
          <w:b/>
          <w:bCs/>
          <w:sz w:val="28"/>
          <w:szCs w:val="28"/>
          <w:lang w:val="uk-ua" w:eastAsia="uk-ua"/>
        </w:rPr>
        <w:t>Фінансова інформація</w:t>
      </w:r>
      <w:r/>
      <w:bookmarkEnd w:id="10"/>
      <w:r/>
      <w:r>
        <w:rPr>
          <w:rFonts w:ascii="Times New Roman" w:hAnsi="Times New Roman" w:eastAsia="Times New Roman"/>
          <w:b/>
          <w:bCs/>
          <w:sz w:val="28"/>
          <w:szCs w:val="28"/>
          <w:lang w:val="uk-ua" w:eastAsia="uk-ua"/>
        </w:rPr>
      </w:r>
    </w:p>
    <w:p>
      <w:pPr>
        <w:spacing w:after="0"/>
        <w:jc w:val="center"/>
        <w:keepNext/>
        <w:outlineLvl w:val="0"/>
        <w:rPr>
          <w:rFonts w:ascii="Times New Roman" w:hAnsi="Times New Roman" w:eastAsia="Times New Roman"/>
          <w:b/>
          <w:bCs/>
          <w:kern w:val="0"/>
          <w:sz w:val="26"/>
          <w:szCs w:val="26"/>
          <w:lang w:val="uk-ua" w:eastAsia="uk-ua"/>
        </w:rPr>
      </w:pPr>
      <w:r/>
      <w:bookmarkStart w:id="11" w:name="_Toc210041593"/>
      <w:r/>
      <w:r>
        <w:rPr>
          <w:rFonts w:ascii="Times New Roman" w:hAnsi="Times New Roman" w:eastAsia="Times New Roman"/>
          <w:b/>
          <w:bCs/>
          <w:kern w:val="0"/>
          <w:sz w:val="26"/>
          <w:szCs w:val="26"/>
          <w:lang w:val="uk-ua" w:eastAsia="uk-ua"/>
        </w:rPr>
        <w:t>1. Інформація про розмір доходу за видами діяльності особи</w:t>
      </w:r>
      <w:r/>
      <w:bookmarkEnd w:id="11"/>
      <w:r/>
      <w:r>
        <w:rPr>
          <w:rFonts w:ascii="Times New Roman" w:hAnsi="Times New Roman" w:eastAsia="Times New Roman"/>
          <w:b/>
          <w:bCs/>
          <w:kern w:val="0"/>
          <w:sz w:val="26"/>
          <w:szCs w:val="26"/>
          <w:lang w:val="uk-ua" w:eastAsia="uk-ua"/>
        </w:rPr>
      </w:r>
    </w:p>
    <w:tbl>
      <w:tblPr>
        <w:tblStyle w:val="NormalTable"/>
        <w:name w:val="Таблица25"/>
        <w:tabOrder w:val="0"/>
        <w:jc w:val="left"/>
        <w:tblInd w:w="0" w:type="dxa"/>
        <w:tblW w:w="16112" w:type="dxa"/>
        <w:tblLook w:val="0000" w:firstRow="0" w:lastRow="0" w:firstColumn="0" w:lastColumn="0" w:noHBand="0" w:noVBand="0"/>
      </w:tblPr>
      <w:tblGrid>
        <w:gridCol w:w="10183"/>
        <w:gridCol w:w="3190"/>
        <w:gridCol w:w="2739"/>
      </w:tblGrid>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Вид діяльності особи </w:t>
              <w:br w:type="textWrapping"/>
              <w:t xml:space="preserve">із зазначенням найменування </w:t>
              <w:br w:type="textWrapping"/>
              <w:t>та коду за КВЕД</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Розмір доходу особи </w:t>
              <w:br w:type="textWrapping"/>
              <w:t xml:space="preserve">від реалізації продукції </w:t>
              <w:br w:type="textWrapping"/>
              <w:t>(товарів, робіт, послуг), </w:t>
              <w:br w:type="textWrapping"/>
              <w:t>тис.грн</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Відсоткове вираження по відношенню </w:t>
              <w:br w:type="textWrapping"/>
              <w:t>від сукупного доходу особи за результатами звітного року</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3</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28.29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ВИРОБНИЦТВО ІНШИХ МАШИН І УСТАТКОВАННЯ ЗАГАЛЬНОГО ПРИЗНАЧЕННЯ, Н. В. І. У.</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53222</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78.5</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 xml:space="preserve">46.90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НЕСПЕЦІАЛІЗОВАНА ОПТОВА ТОРГІВЛЯ</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13653</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20.2</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33.12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Ремонт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техн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чне обслуговування машин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устатковання промислового призначення</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86.9</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1.3</w:t>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0"/>
          <w:footerReference w:type="default" r:id="rId21"/>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kern w:val="0"/>
          <w:sz w:val="26"/>
          <w:szCs w:val="26"/>
          <w:lang w:val="uk-ua" w:eastAsia="uk-ua"/>
        </w:rPr>
      </w:pPr>
      <w:r>
        <w:rPr>
          <w:rFonts w:ascii="Times New Roman" w:hAnsi="Times New Roman" w:eastAsia="Times New Roman"/>
          <w:b/>
          <w:bCs/>
          <w:kern w:val="0"/>
          <w:sz w:val="26"/>
          <w:szCs w:val="26"/>
          <w:lang w:val="en-us" w:eastAsia="uk-ua"/>
        </w:rPr>
        <w:t xml:space="preserve"> </w:t>
      </w:r>
      <w:r>
        <w:rPr>
          <w:rFonts w:ascii="Times New Roman" w:hAnsi="Times New Roman" w:eastAsia="Times New Roman"/>
          <w:b/>
          <w:bCs/>
          <w:kern w:val="0"/>
          <w:sz w:val="26"/>
          <w:szCs w:val="26"/>
          <w:lang w:val="uk-ua" w:eastAsia="uk-ua"/>
        </w:rPr>
        <w:t xml:space="preserve"> </w:t>
      </w:r>
      <w:r/>
      <w:bookmarkStart w:id="12" w:name="_Toc210041594"/>
      <w:r/>
      <w:r>
        <w:rPr>
          <w:rFonts w:ascii="Times New Roman" w:hAnsi="Times New Roman" w:eastAsia="Times New Roman"/>
          <w:b/>
          <w:bCs/>
          <w:kern w:val="0"/>
          <w:sz w:val="26"/>
          <w:szCs w:val="26"/>
          <w:lang w:val="en-us" w:eastAsia="uk-ua"/>
        </w:rPr>
        <w:t>4. Твердження щодо річної інформації</w:t>
      </w:r>
      <w:r/>
      <w:bookmarkEnd w:id="12"/>
      <w:r/>
      <w:r>
        <w:rPr>
          <w:rFonts w:ascii="Times New Roman" w:hAnsi="Times New Roman" w:eastAsia="Times New Roman"/>
          <w:b/>
          <w:bCs/>
          <w:kern w:val="0"/>
          <w:sz w:val="26"/>
          <w:szCs w:val="26"/>
          <w:lang w:val="en-us" w:eastAsia="uk-ua"/>
        </w:rPr>
        <w:t xml:space="preserve"> </w:t>
      </w:r>
      <w:r>
        <w:rPr>
          <w:rFonts w:ascii="Times New Roman" w:hAnsi="Times New Roman" w:eastAsia="Times New Roman"/>
          <w:b/>
          <w:bCs/>
          <w:kern w:val="0"/>
          <w:sz w:val="26"/>
          <w:szCs w:val="26"/>
          <w:lang w:val="uk-ua" w:eastAsia="uk-ua"/>
        </w:rPr>
      </w:r>
    </w:p>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Керівництво Товариства, що здійснює управлінські функції та підписує річну інформацію емітента, підтверджує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воно стикається у своїй господарській діяльності.</w:t>
      </w:r>
    </w:p>
    <w:p>
      <w:pPr>
        <w:spacing w:after="60" w:line="240" w:lineRule="auto"/>
        <w:jc w:val="center"/>
        <w:outlineLvl w:val="0"/>
        <w:rPr>
          <w:rFonts w:ascii="Times New Roman" w:hAnsi="Times New Roman" w:eastAsia="Times New Roman"/>
          <w:b/>
          <w:bCs/>
          <w:sz w:val="28"/>
          <w:szCs w:val="28"/>
          <w:lang w:val="uk-ua" w:eastAsia="uk-ua"/>
        </w:rPr>
      </w:pPr>
      <w:r/>
      <w:bookmarkStart w:id="13" w:name="_Toc210041595"/>
      <w:r/>
      <w:r>
        <w:rPr>
          <w:rFonts w:ascii="Times New Roman" w:hAnsi="Times New Roman" w:eastAsia="Times New Roman"/>
          <w:b/>
          <w:bCs/>
          <w:sz w:val="28"/>
          <w:szCs w:val="28"/>
          <w:lang w:val="uk-ua" w:eastAsia="uk-ua"/>
        </w:rPr>
        <w:t>IV. Нефінансова інформація</w:t>
      </w:r>
      <w:r/>
      <w:bookmarkEnd w:id="13"/>
      <w:r/>
      <w:r>
        <w:rPr>
          <w:rFonts w:ascii="Times New Roman" w:hAnsi="Times New Roman" w:eastAsia="Times New Roman"/>
          <w:b/>
          <w:bCs/>
          <w:sz w:val="28"/>
          <w:szCs w:val="28"/>
          <w:lang w:val="uk-ua" w:eastAsia="uk-ua"/>
        </w:rPr>
      </w:r>
    </w:p>
    <w:p>
      <w:pPr>
        <w:spacing w:after="60" w:line="240" w:lineRule="auto"/>
        <w:outlineLvl w:val="0"/>
        <w:rPr>
          <w:rFonts w:ascii="Calibri Light" w:hAnsi="Calibri Light" w:eastAsia="Times New Roman"/>
          <w:b/>
          <w:bCs/>
          <w:sz w:val="32"/>
          <w:szCs w:val="32"/>
          <w:lang w:val="uk-ua" w:eastAsia="uk-ua"/>
        </w:rPr>
      </w:pPr>
      <w:r/>
      <w:bookmarkStart w:id="14" w:name="_Toc210041596"/>
      <w:r/>
      <w:r>
        <w:rPr>
          <w:rFonts w:ascii="Times New Roman" w:hAnsi="Times New Roman" w:eastAsia="Times New Roman"/>
          <w:b/>
          <w:bCs/>
          <w:kern w:val="0"/>
          <w:sz w:val="26"/>
          <w:szCs w:val="26"/>
          <w:lang w:val="uk-ua" w:eastAsia="uk-ua"/>
        </w:rPr>
        <w:t>1. Звіт керівництва (звіт про управління)</w:t>
      </w:r>
      <w:r/>
      <w:bookmarkEnd w:id="14"/>
      <w:r/>
      <w:r>
        <w:rPr>
          <w:rFonts w:ascii="Calibri Light" w:hAnsi="Calibri Light" w:eastAsia="Times New Roman"/>
          <w:b/>
          <w:bCs/>
          <w:sz w:val="32"/>
          <w:szCs w:val="32"/>
          <w:lang w:val="uk-ua" w:eastAsia="uk-ua"/>
        </w:rPr>
      </w:r>
    </w:p>
    <w:p>
      <w:r/>
    </w:p>
    <w:p>
      <w:pPr>
        <w:spacing w:before="240" w:after="0"/>
        <w:keepNext/>
        <w:outlineLvl w:val="0"/>
        <w:keepLines/>
        <w:rPr>
          <w:rFonts w:ascii="Calibri Light" w:hAnsi="Calibri Light" w:eastAsia="Times New Roman"/>
          <w:sz w:val="32"/>
          <w:szCs w:val="32"/>
        </w:rPr>
      </w:pPr>
      <w:r/>
      <w:bookmarkStart w:id="15" w:name="_Toc210041597"/>
      <w:r/>
      <w:r>
        <w:rPr>
          <w:rFonts w:ascii="Times New Roman" w:hAnsi="Times New Roman" w:eastAsia="Times New Roman"/>
          <w:b/>
          <w:sz w:val="24"/>
          <w:szCs w:val="24"/>
        </w:rPr>
        <w:t>1) звіт про корпоративне управління</w:t>
      </w:r>
      <w:r/>
      <w:bookmarkEnd w:id="15"/>
      <w:r/>
      <w:r>
        <w:rPr>
          <w:rFonts w:ascii="Calibri Light" w:hAnsi="Calibri Light" w:eastAsia="Times New Roman"/>
          <w:sz w:val="32"/>
          <w:szCs w:val="32"/>
        </w:rPr>
      </w:r>
    </w:p>
    <w:p>
      <w:pPr>
        <w:spacing w:before="57"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Частина 1. Інформація про кодекс корпоративного управління, яким керується особа,</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lang w:val="uk-ua" w:eastAsia="uk-ua"/>
        </w:rPr>
        <w:t>та/або практику корпоративного управління особи, застосовувану понад визначені законодавством вимоги</w:t>
      </w:r>
      <w:r>
        <w:rPr>
          <w:rFonts w:ascii="Times New Roman" w:hAnsi="Times New Roman" w:eastAsia="Times New Roman"/>
          <w:b/>
          <w:color w:val="000000"/>
          <w:sz w:val="24"/>
          <w:szCs w:val="24"/>
          <w:lang w:val="uk-ua" w:eastAsia="uk-ua"/>
        </w:rPr>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spacing w:before="113" w:after="0" w:line="257" w:lineRule="auto"/>
        <w:jc w:val="center"/>
        <w:suppressAutoHyphens/>
        <w:hyphenationLines w:val="0"/>
        <w:keepNext/>
        <w:widowControl w:val="0"/>
        <w:tabs defTabSz="708">
          <w:tab w:val="right" w:pos="6350"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про кодекс корпоративного управління, яким керується особа</w:t>
      </w:r>
    </w:p>
    <w:tbl>
      <w:tblPr>
        <w:tblStyle w:val="NormalTable"/>
        <w:name w:val="Таблица26"/>
        <w:tabOrder w:val="0"/>
        <w:jc w:val="left"/>
        <w:tblInd w:w="0" w:type="dxa"/>
        <w:tblW w:w="9922" w:type="dxa"/>
        <w:tblLook w:val="0000" w:firstRow="0" w:lastRow="0" w:firstColumn="0" w:lastColumn="0" w:noHBand="0" w:noVBand="0"/>
      </w:tblPr>
      <w:tblGrid>
        <w:gridCol w:w="4038"/>
        <w:gridCol w:w="5884"/>
      </w:tblGrid>
      <w:tr>
        <w:trPr>
          <w:cantSplit w:val="0"/>
          <w:trHeight w:val="60" w:hRule="atLeast"/>
        </w:trPr>
        <w:tc>
          <w:tcPr>
            <w:tcW w:w="20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c>
          <w:tcPr>
            <w:tcW w:w="296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Прийнято рішення про застосування іншого кодексу</w:t>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управління, яким прийнято рішення про затвердження застосування іншого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Власний Кодекс корпоративного управління ПРАТ "МАКІЇВСЬКИЙ ЗАВОД "ФАКЕЛ" розроблено відповідно до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в Україні" та Принципів корпоративного управління України, затверджених рішенням Державної комісії з цінних паперів та фондового ринку від 22.07.2014 № 955, Статуту та інших законодавчих актів. Затверджено черговими загальними зборами акціонерів 11.04.2019 року.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Кодекс корпоративного управління є документом, який визначає і закріплює основні принципи та стандарти корпоративного управління Товариства, принципи захисту інтересів акціонерів, принципи прозорості в прийнятті рішень та інформаційної відкритості. Цей Кодекс є сукупністю добровільно прийнятих зобов'язань, заснованих на збалансованому врахуванні інтересів акціонерів Товариства та інших зацікавлених осіб, а також органів управління та контролю Товариства.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Основними напрямами корпоративного управління у Товаристві є:</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розподіл повноважень, питань компетенції та підпорядкованості між органами управління, організація ефективної діяльності Виконавчого органу та Наглядової ради;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встановлення та затвердження стратегії розвитку Товариства та контроль за її реалізацією, попередження конфліктів інтересів, які можуть виникнути між акціонерами, членами Наглядової ради, службовцями, іншими клієнтами та контрагентами;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визначення правил та процедур, то забезпечують дотримання принципів професійної етики;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визначення порядку та контролю за розкриггям інформації про Товариство.</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Дотримання положень Кодексу забезпечує прозорість ведення господарської діяльності Товариства, відповідальність органів Товариства та виконання зобов'язань Товариства при здійсненні господарської діяльності через належне функціонування органів Товариства, ефективний внутрішній контроль, транспарентність, чітке визначення прав і обов'язків органів Товариства, акціонерів та зацікавлених осіб.</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Метою прийняття Кодексу є впровадження в діяльність Товариства відповідних норм та правил корпоративного управління, що застосовуються в міжнародній практиці, вимог чинного законодавства та загальноприйнятих стандартів етичної поведінки для: створення необхідних умов досягнення основної мети діяльності Товариства - отримання прибутку від фінансово-господарської діяльності; встановлення стратегічних цілей та завдань Товариства; досягнення балансу інтересів акціонерів Іовариства. органів управління, працівників Товарне і ва та інших зацікавлених осіб; захисту прав акціонерів, незалежно від розміру пакету акцій, якими вони володіють; забезпечення прозорості діяльності Товариства. сприяння розвитку інвестиційних процесів, забезпечення впевненості та підвищення довіри інвесторів; підвищення ефективності використання капіталу та діяльності Товариства; урахування інтересів широкого кола заінтересованих осіб, що забезпечує здійснення Товариством діяльності на благо суспільства.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Впровадження цього Кодексу спрямоване на захист інтересів акціонерів, незалежно від розміру пакету акцій, якими вони володіють; досягнення порозуміння між усіма особами, зацікавленими в ефективній роботі Товариства: акціонерами, клієнтами, партнерами, співробітниками; забезпечення прозорості Товариства та підвищення ефективності діяльності Наглядової ради Товариства). Виконавчого органу Товариства; збільшення вартості активів Товариства, підтримку його фінансової стабільності та прибутковості.</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Органами управління Товариства відповідно до Статуту Товариства є:</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Загальні збори акціонерів Товариства - вищий орган управління Товариства;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Наглядова рада - забезпечує стратегічне керівництво діяльністю товариства, контроль за діяльністю виконавчою органу та захист прав усіх акціонерів;</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Правління під керівництвом Голови правління.</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Повний текст Кодексу корпоративного управління ПРАТ "МАКІЇВСЬКИЙ ЗАВОД "ФАКЕЛ"розміщено на власному веб-сайті </w:t>
            </w:r>
            <w:r>
              <w:rPr>
                <w:rFonts w:ascii="Times New Roman" w:hAnsi="Times New Roman" w:eastAsia="Times New Roman"/>
                <w:sz w:val="20"/>
                <w:szCs w:val="20"/>
                <w:lang w:val="en-us" w:eastAsia="uk-ua"/>
              </w:rPr>
              <w:t>http</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 xml:space="preserve">.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Інформація, що розкривається товариством, є суттєвою та повною.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Інформація, що розкривається товариством, є достовірною, тобто такою, що сприяє чіткому та повному уявленню про дійсний фінансовий стан товариства та результати його діяльності.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Товариство забезпечує своєчасність розкриття інформації.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Товариство забезпечує рівний доступ до інформації, що розкривається, включаючи її обсяг, зміст, форму та час надання.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використовує зручні для користувачів засоби поширення інформації, які забезпечують рівний, своєчасний та непов'язаний зі значними витратами доступ до інформації.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доцільне визначати з врахуванням потреб товариства у захисті конфіденційної інформації та комерційної таємниці.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Контроль за фінансово-господарською діяльністю товариства здійснюється через залучення незалежного зовнішнього аудитора (аудиторської фірми).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проводить щорічну аудиторську перевірку за участю зовнішнього аудитора, який призначається наглядовою радою або виконавчим органом товариства, якщо інше не передбачено статутом. Аудиторська перевірка проводиться у відповідності до міжнародних стандартів аудиту. </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eastAsia="uk-ua"/>
              </w:rPr>
              <w:t>Товариство поважає права та враховує законні інтереси 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співпрацює  з ними для створення добробуту, робочих місць та забезпечення фінансової стабільності товариства.</w:t>
            </w:r>
            <w:r>
              <w:rPr>
                <w:rFonts w:ascii="Times New Roman" w:hAnsi="Times New Roman" w:eastAsia="Times New Roman"/>
                <w:sz w:val="20"/>
                <w:szCs w:val="20"/>
                <w:lang w:val="uk-ua" w:eastAsia="uk-ua"/>
              </w:rPr>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Дата прийняття рішення щодо затвердження застосування іншого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11.04.2019</w:t>
            </w:r>
            <w:r>
              <w:rPr>
                <w:rFonts w:ascii="Times New Roman" w:hAnsi="Times New Roman" w:eastAsia="Times New Roman"/>
                <w:sz w:val="20"/>
                <w:szCs w:val="20"/>
                <w:lang w:val="uk-ua" w:eastAsia="uk-ua"/>
              </w:rPr>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URL-адреса з текстом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https://fakel.pat.ua/</w:t>
            </w: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2.</w:t>
      </w:r>
    </w:p>
    <w:p>
      <w:pPr>
        <w:spacing w:before="113" w:after="0" w:line="257" w:lineRule="auto"/>
        <w:jc w:val="center"/>
        <w:suppressAutoHyphens/>
        <w:hyphenationLines w:val="0"/>
        <w:keepNext/>
        <w:widowControl w:val="0"/>
        <w:tabs defTabSz="708">
          <w:tab w:val="right" w:pos="635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Інформація про практику корпоративного управління особи, </w:t>
        <w:br w:type="textWrapping"/>
        <w:t>застосовувану понад визначені законодавством вимоги</w:t>
      </w:r>
    </w:p>
    <w:tbl>
      <w:tblPr>
        <w:tblStyle w:val="NormalTable"/>
        <w:name w:val="Таблица27"/>
        <w:tabOrder w:val="0"/>
        <w:jc w:val="left"/>
        <w:tblInd w:w="0" w:type="dxa"/>
        <w:tblW w:w="9912" w:type="dxa"/>
        <w:tblLook w:val="0000" w:firstRow="0" w:lastRow="0" w:firstColumn="0" w:lastColumn="0" w:noHBand="0" w:noVBand="0"/>
      </w:tblPr>
      <w:tblGrid>
        <w:gridCol w:w="4504"/>
        <w:gridCol w:w="1578"/>
        <w:gridCol w:w="3830"/>
      </w:tblGrid>
      <w:tr>
        <w:trPr>
          <w:cantSplit w:val="0"/>
          <w:trHeight w:val="60" w:hRule="atLeast"/>
        </w:trPr>
        <w:tc>
          <w:tcPr>
            <w:tcW w:w="4504"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c>
          <w:tcPr>
            <w:tcW w:w="1578"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lang w:val="uk-ua" w:eastAsia="uk-ua"/>
              </w:rPr>
            </w:pPr>
            <w:r>
              <w:rPr>
                <w:rFonts w:ascii="Times New Roman" w:hAnsi="Times New Roman" w:eastAsia="Times New Roman"/>
                <w:b/>
                <w:bCs/>
                <w:color w:val="000000"/>
                <w:lang w:val="uk-ua" w:eastAsia="uk-ua"/>
              </w:rPr>
              <w:t>(Так/Ні)</w:t>
            </w:r>
            <w:r>
              <w:rPr>
                <w:rFonts w:ascii="Times New Roman" w:hAnsi="Times New Roman" w:eastAsia="Times New Roman"/>
                <w:color w:val="000000"/>
                <w:lang w:val="uk-ua" w:eastAsia="uk-ua"/>
              </w:rPr>
            </w:r>
          </w:p>
        </w:tc>
        <w:tc>
          <w:tcPr>
            <w:tcW w:w="3830"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lang w:val="uk-ua" w:eastAsia="uk-ua"/>
              </w:rPr>
            </w:pPr>
            <w:r>
              <w:rPr>
                <w:rFonts w:ascii="Times New Roman" w:hAnsi="Times New Roman" w:eastAsia="Times New Roman"/>
                <w:b/>
                <w:bCs/>
                <w:color w:val="000000"/>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1. Цілі особи</w:t>
            </w:r>
            <w:r>
              <w:rPr>
                <w:rFonts w:ascii="Times New Roman" w:hAnsi="Times New Roman" w:eastAsia="Times New Roman"/>
                <w:color w:val="00000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Товариство створене  як господарське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дприємницьку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з метою одержання прибутку та наступного його розпод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лу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онерами.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2. Акціонери та стейкхолдери</w:t>
            </w:r>
            <w:r>
              <w:rPr>
                <w:rFonts w:ascii="Times New Roman" w:hAnsi="Times New Roman" w:eastAsia="Times New Roman"/>
                <w:color w:val="00000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Права акціонерів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Вiдповiдно до вимог законодавства</w:t>
            </w: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Права міноритарних акціонерів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Вiдповiдно до вимог законодавства</w:t>
            </w: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1) загальні збори акціонерів</w:t>
            </w:r>
            <w:r>
              <w:rPr>
                <w:rFonts w:ascii="Times New Roman" w:hAnsi="Times New Roman" w:eastAsia="Times New Roman"/>
                <w:color w:val="000000"/>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З документами,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дними для прийняття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шень з питань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онери Товариства та їх представники можуть ознайомитися з дати над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слання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 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домлення (не менше, 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за 30 дн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до дати їх проведення) до дати</w:t>
            </w: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Біографічні дані про кандидатів до складу</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органів управління, у тому числі про освіту та професійний досвід, розкриваються одночасно із повідомленням про проведення загальних зборів</w:t>
            </w:r>
            <w:r>
              <w:rPr>
                <w:rFonts w:ascii="Times New Roman" w:hAnsi="Times New Roman" w:eastAsia="Times New Roman"/>
                <w:b/>
                <w:color w:val="000000"/>
                <w:sz w:val="20"/>
                <w:szCs w:val="20"/>
                <w:lang w:val="uk-ua" w:eastAsia="uk-ua"/>
              </w:rPr>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Б</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ограф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дан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про кандидат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до складу орган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у тому числ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про осв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ту та профес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йний досв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 розкриваються шляхом направлення Товариством документ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онеру на його запит. Б</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ограф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дан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член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орган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також розкриваються в особлив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(на наступний день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сля обрання) та в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чному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станом на 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нець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тного року.</w:t>
            </w:r>
            <w:r>
              <w:rPr>
                <w:rFonts w:ascii="Times New Roman" w:hAnsi="Times New Roman" w:eastAsia="Times New Roman"/>
                <w:sz w:val="20"/>
                <w:szCs w:val="20"/>
                <w:lang w:val="uk-ua" w:eastAsia="uk-ua"/>
              </w:rPr>
            </w:r>
          </w:p>
        </w:tc>
      </w:tr>
      <w:tr>
        <w:trPr>
          <w:cantSplit w:val="0"/>
          <w:trHeight w:val="961"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Особи,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мають право брати участь у загальних зборах, мають можлив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голосувати дистанц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йно шляхом засв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дчення бюлетеню для голосування за допомогою квал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кованого електронного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дпису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онера (його представника) ( </w:t>
            </w:r>
            <w:r>
              <w:rPr>
                <w:rFonts w:ascii="Times New Roman" w:hAnsi="Times New Roman" w:eastAsia="Times New Roman"/>
                <w:color w:val="000000"/>
                <w:sz w:val="20"/>
                <w:szCs w:val="20"/>
                <w:lang w:eastAsia="uk-ua"/>
              </w:rPr>
              <w:t xml:space="preserve">та/або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ншим засобом електронної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дентиф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що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дає вимогам, визначеним Нац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ональною ком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з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та фондового ринку), а також дистанц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йно отримувати матер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али, пов'язан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з загальними зборами, у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дь на запит,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дписаний квал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кованим електронним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дписом такого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ншим засобом, що забезпечує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дентиф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ю та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дтвердження направлення документу особою) та направлений на адресу електронної пошти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дальної за порядок ознайомлення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з документами,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дними для прийняття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шень з питань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особи.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Керівник, фінансовий директор, більшість </w:t>
              <w:br w:type="textWrapping"/>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У очних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чних загальних зборах кер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вник, голова та/або члени наглядової ради, зовн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аудитор можуть брати участь, виступати з допов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дями, можуть брати участь в обговореннях.</w:t>
            </w: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Особи, які мають можливість брати участь у загальних зборах, мають можливість ставити </w:t>
              <w:br w:type="textWrapping"/>
              <w:t>усні запитання стосовно питань порядку денного і отримувати відповіді на них</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У очних загальних зборах передбачається можлив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ставити усн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запитання стосовно питань порядку денного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отримувати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на них</w:t>
            </w:r>
            <w:r>
              <w:rPr>
                <w:rFonts w:ascii="Times New Roman" w:hAnsi="Times New Roman" w:eastAsia="Times New Roman"/>
                <w:sz w:val="20"/>
                <w:szCs w:val="20"/>
                <w:lang w:val="uk-ua" w:eastAsia="uk-ua"/>
              </w:rPr>
            </w:r>
          </w:p>
        </w:tc>
      </w:tr>
      <w:tr>
        <w:trPr>
          <w:cantSplit w:val="0"/>
          <w:trHeight w:val="430"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Детальний регламент проведення загальних зборів визначено статутом та/або внутрішніми документами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Регламент проведення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затверджується першим питанням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Протокол та рішення загальних зборів </w:t>
              <w:br w:type="textWrapping"/>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 xml:space="preserve">Протокол та рішення загальних зборів </w:t>
            </w:r>
          </w:p>
          <w:p>
            <w:pPr>
              <w:spacing w:after="0" w:line="240" w:lineRule="auto"/>
              <w:suppressAutoHyphens/>
              <w:hyphenationLines w:val="0"/>
              <w:widowControl w:val="0"/>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961"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 яка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дна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 для сприяння їх участ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у загальних зборах та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нформування про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ухвален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 час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розм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щується на вебсайт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https://fakel.pat.ua/</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2) взаємодія з акціонерами</w:t>
            </w:r>
            <w:r>
              <w:rPr>
                <w:rFonts w:ascii="Times New Roman" w:hAnsi="Times New Roman" w:eastAsia="Times New Roman"/>
                <w:color w:val="000000"/>
                <w:sz w:val="20"/>
                <w:szCs w:val="20"/>
                <w:lang w:val="uk-ua" w:eastAsia="uk-ua"/>
              </w:rPr>
            </w:r>
          </w:p>
        </w:tc>
      </w:tr>
      <w:tr>
        <w:trPr>
          <w:cantSplit w:val="0"/>
          <w:trHeight w:val="34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тика щодо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яка сприяла б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Товариством та її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окремого документа,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дсутня.</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3) поглинання</w:t>
            </w:r>
            <w:r>
              <w:rPr>
                <w:rFonts w:ascii="Times New Roman" w:hAnsi="Times New Roman" w:eastAsia="Times New Roman"/>
                <w:color w:val="000000"/>
                <w:sz w:val="20"/>
                <w:szCs w:val="20"/>
                <w:lang w:val="uk-ua" w:eastAsia="uk-ua"/>
              </w:rPr>
            </w:r>
          </w:p>
        </w:tc>
      </w:tr>
      <w:tr>
        <w:trPr>
          <w:cantSplit w:val="0"/>
          <w:trHeight w:val="1669"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визначено принципи, як вона діятиме у разі пропозиції щодо поглинання, зокрема:</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а) не вчиняти дії щодо протидії поглинанню </w:t>
              <w:br w:type="textWrapping"/>
              <w:t>без відповідного рішення загальних зборів;</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 надавати акціонерам збалансований аналіз недоліків і переваг будь-якої пропозиції щодо поглинання;</w:t>
            </w:r>
          </w:p>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 w:val="20"/>
                <w:szCs w:val="20"/>
                <w:lang w:val="uk-ua" w:eastAsia="uk-ua"/>
              </w:rPr>
              <w:t>в) загальні збори приймають остаточне рішення про схвалення або відхилення пропозицій щодо поглинання</w:t>
            </w:r>
            <w:r>
              <w:rPr>
                <w:rFonts w:ascii="Times New Roman" w:hAnsi="Times New Roman" w:eastAsia="Times New Roman"/>
                <w:color w:val="000000"/>
                <w:sz w:val="20"/>
                <w:szCs w:val="20"/>
                <w:lang w:val="uk-ua" w:eastAsia="uk-ua"/>
              </w:rPr>
              <w:t xml:space="preserve"> </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про схвалення або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дхилення пропозиц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щодо поглинання </w:t>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повинн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приймати загальн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збори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 xml:space="preserve">4) інші стейкхолдери </w:t>
            </w:r>
            <w:r>
              <w:rPr>
                <w:rFonts w:ascii="Times New Roman" w:hAnsi="Times New Roman" w:eastAsia="Times New Roman"/>
                <w:color w:val="000000"/>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Питання затвердження 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тики вз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стейкхолдерами не виносилось на затвердження наглядовою радою в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тному роц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w:t>
            </w: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Особою визначено перелік своїх стейкхолдерів, зокрема і тих, з якими необхідно налагодити безпосередню взаємодію </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У Товариства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ун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кований перел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 стейкхолдер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повн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стю волод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є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про своїх стейкхолдер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розкриває звіт щодо аспектів взаємодії зі стейкхолдерами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 щодо аспект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стейкхолдерами не складався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не затверджувався наглядовою радою в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тному роц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w:t>
            </w: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tbl>
      <w:tblPr>
        <w:tblStyle w:val="NormalTable"/>
        <w:name w:val="Таблица28"/>
        <w:tabOrder w:val="0"/>
        <w:jc w:val="left"/>
        <w:tblInd w:w="0" w:type="dxa"/>
        <w:tblW w:w="10051" w:type="dxa"/>
        <w:tblLook w:val="0000" w:firstRow="0" w:lastRow="0" w:firstColumn="0" w:lastColumn="0" w:noHBand="0" w:noVBand="0"/>
      </w:tblPr>
      <w:tblGrid>
        <w:gridCol w:w="4569"/>
        <w:gridCol w:w="1599"/>
        <w:gridCol w:w="3883"/>
      </w:tblGrid>
      <w:tr>
        <w:trPr>
          <w:cantSplit w:val="0"/>
          <w:trHeight w:val="60" w:hRule="atLeast"/>
        </w:trPr>
        <w:tc>
          <w:tcPr>
            <w:tcW w:w="456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3. Наглядова рада</w:t>
            </w:r>
            <w:r>
              <w:rPr>
                <w:rFonts w:ascii="Times New Roman" w:hAnsi="Times New Roman" w:eastAsia="Times New Roman"/>
                <w:color w:val="000000"/>
                <w:lang w:val="uk-ua" w:eastAsia="uk-ua"/>
              </w:rPr>
            </w:r>
          </w:p>
        </w:tc>
        <w:tc>
          <w:tcPr>
            <w:tcW w:w="1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83"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Члени наглядової ради не входять до складу наглядових рад у більш ніж 3 інших юридичних особах</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Обмеження по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лькост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б, в яких член наглядової ради Товариства може входити до складу наглядових рад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встановлен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статутом,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ми положеннями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веде облік відвідування засідань наглядової ради та її комітетів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дувань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дань не ведеться. </w:t>
            </w:r>
            <w:r>
              <w:rPr>
                <w:rFonts w:ascii="Times New Roman" w:hAnsi="Times New Roman" w:eastAsia="Times New Roman"/>
                <w:sz w:val="20"/>
                <w:szCs w:val="20"/>
                <w:lang w:eastAsia="uk-ua"/>
              </w:rPr>
            </w:r>
          </w:p>
          <w:p>
            <w:pP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присутн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на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дання наглядової ради зазначається в протоколах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дань наглядової ради</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Положення про наглядову раду визначає обов'язок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сумл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нно виконувати свої функц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дотримуватися принципу лояльност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стосовно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Для здiйснення покладених на неї завдань наглядова рада має право отримувати iнформацiю та документи, що стосуються дiяльностi Товариства, вимагати звiтiв та надання пояснень вiд директора, працiвникiв Товариства, його структурних пiдроздiлiв, а також здiйснювати iншi дiї, якi можуть бути необхiдними для ефективного виконання наглядовою радою своїх завдань.</w:t>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регулярно оцінює результати діяльності особи та виконавчого органу відповідно до цілей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днодо статуту Товариства регулярна 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нка результат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директора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 до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лей Товариства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наглядовою радою шляхом розгляду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ту директора на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наглядової ради та затвердження заход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результатами його розгляду.</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 статут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документах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норма про те, що наглядова рада не має права втручатися у поточне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особою,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питання,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належать до сфери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директора,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як у випадках надзвичайних обставин,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належним чином.</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і навички членів наглядової ради відповідають потребам особи, її розміру та ступеню складності її діяльності</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Профес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йний досв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навички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дають потребам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Наглядовою радою визначені і регулярно переглядаються кваліфікаційні вимоги до кандидатів у члени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Квал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вимоги до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члени наглядової ради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встановлено відповідно до діючого законодавства України.</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 та призначення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дбувається на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профес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йних якостей, досягнень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конкретним критер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 особі наявна формалізована процедура перевірки кандидатів у члени наглядової ради, </w:t>
              <w:br w:type="textWrapping"/>
              <w:t>яка зокрема включає перевірку добропорядності, наявності конфлікту інтересів, компетентності, навичок і досвіду кандидата</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Процедура перев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рки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члени наглядової ради включає перев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рку добропорядност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конфл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кту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компетентност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навичок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ду кандидата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Процедура відбору передбачає можливість залучення зовнішніх радників та/або процес відкритого пошуку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Процес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дкритого пошуку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до складу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зовн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радники не залучаються.</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Наглядова рада розробляє плани наступництва </w:t>
              <w:br w:type="textWrapping"/>
              <w:t>для членів наглядової ради та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Плани наступництва для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та виконавчого органу не розробляються.</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радою затверджено політику щодо різноманіття складу наглядової ради та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тику щодо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зноман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ття складу наглядової ради та виконавчого органу не затверджено.</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Представники однієї зі статей становлять не менше 40 % від складу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Представники одн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єї 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статей становлять не менше 40 %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складу наглядової ради.</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Незалежні члени наглядової ради становлять не менше половини від її загального складу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Незалежні члени наглядової ради становлять не менше половини від її загального складу</w:t>
            </w:r>
          </w:p>
        </w:tc>
      </w:tr>
      <w:tr>
        <w:trPr>
          <w:cantSplit w:val="0"/>
          <w:trHeight w:val="245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Члени наглядової ради проходять вступний тренінг після їх обрання, який серед іншого покриває:</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а) обов’язки, функції і сфери відповідальності </w:t>
              <w:br w:type="textWrapping"/>
              <w:t>членів наглядової ради;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 незалежність, включаючи незалежність мислення;</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 порядок роботи наглядової ради;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 питання відповідальності;</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ґ) питання стратегії особи;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 політики особи, включаючи питання етики, конфлікту інтересів та запобігання корупції;</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е) питання звітності та систем контролю, </w:t>
              <w:br w:type="textWrapping"/>
              <w:t>включаючи внутрішній та зовнішній аудит;</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є) роль комітетів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Новообранi члени наглядової ради самостiйно ознайомлюються зi змiстом внутрiшнiх документiв, якi їм надаються та охоплюють вказанi питання.</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розробляє план навчання, який визначає, з яких питань необхідно пройти додаткове навчання її членам</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Плани навчання не розробляються.</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Голову наглядової ради обрано серед незалежних членів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наглядової ради є незалежним членом</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Голові наглядової ради забезпечено можливість для комунікації з акціонерами, у тому числі мажоритарними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наглядової ради забезпечено можлив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для комун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з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мажоритарними.</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Функції голови наглядової ради визначаються у внутрішніх документах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Функц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голови наглядової ради визначаються у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шньому положенн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наглядову раду, Статуту Товариства</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Створена посада та призначено корпоративного секретаря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Посада корпоративного секретаря не створена</w:t>
            </w:r>
          </w:p>
        </w:tc>
      </w:tr>
      <w:tr>
        <w:trPr>
          <w:cantSplit w:val="0"/>
          <w:trHeight w:val="264" w:hRule="atLeast"/>
        </w:trPr>
        <w:tc>
          <w:tcPr>
            <w:tcW w:w="10051"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1) комітети наглядової ради</w:t>
            </w:r>
            <w:r>
              <w:rPr>
                <w:rFonts w:ascii="Times New Roman" w:hAnsi="Times New Roman" w:eastAsia="Times New Roman"/>
                <w:color w:val="000000"/>
                <w:lang w:val="uk-ua" w:eastAsia="uk-ua"/>
              </w:rPr>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Наглядовою радою створено комітети та затверджені внутрішні документи, які регулюють їх діяльність</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Наглядової ради не створювались, відповідні внутрішні документи не затверджувались</w:t>
            </w:r>
          </w:p>
        </w:tc>
      </w:tr>
      <w:tr>
        <w:trPr>
          <w:cantSplit w:val="0"/>
          <w:trHeight w:val="99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Наглядової ради не створювались, відповідні внутрішні документи не затверджувались.</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Члени комітету з питань аудиту не входять до складу інших комітетів наглядової ради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99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482"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Більшість комітету з питань ризиків становлять незалежні члени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bl>
    <w:p>
      <w:pPr>
        <w:rPr>
          <w:rFonts w:eastAsia="Times New Roman"/>
          <w:lang w:val="uk-ua" w:eastAsia="uk-ua"/>
        </w:rPr>
      </w:pPr>
      <w:r>
        <w:rPr>
          <w:rFonts w:eastAsia="Times New Roman"/>
          <w:lang w:val="uk-ua" w:eastAsia="uk-ua"/>
        </w:rPr>
      </w:r>
    </w:p>
    <w:tbl>
      <w:tblPr>
        <w:tblStyle w:val="NormalTable"/>
        <w:name w:val="Таблица29"/>
        <w:tabOrder w:val="0"/>
        <w:jc w:val="left"/>
        <w:tblInd w:w="0" w:type="dxa"/>
        <w:tblW w:w="9912" w:type="dxa"/>
        <w:tblLook w:val="0000" w:firstRow="0" w:lastRow="0" w:firstColumn="0" w:lastColumn="0" w:noHBand="0" w:noVBand="0"/>
      </w:tblPr>
      <w:tblGrid>
        <w:gridCol w:w="4505"/>
        <w:gridCol w:w="1586"/>
        <w:gridCol w:w="3821"/>
      </w:tblGrid>
      <w:tr>
        <w:trPr>
          <w:cantSplit w:val="0"/>
          <w:trHeight w:val="60" w:hRule="atLeast"/>
        </w:trPr>
        <w:tc>
          <w:tcPr>
            <w:tcW w:w="450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4. Виконавчий орган</w:t>
            </w:r>
            <w:r>
              <w:rPr>
                <w:rFonts w:ascii="Times New Roman" w:hAnsi="Times New Roman" w:eastAsia="Times New Roman"/>
                <w:color w:val="000000"/>
                <w:lang w:val="uk-ua" w:eastAsia="uk-ua"/>
              </w:rPr>
            </w:r>
          </w:p>
        </w:tc>
        <w:tc>
          <w:tcPr>
            <w:tcW w:w="158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21"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Виконавчий орган розробляє стратегію особи, </w:t>
              <w:br w:type="textWrapping"/>
              <w:t>яка затверджується рішенням Наглядової ради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Визначення основних напрям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яльност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дно до статуту є виключною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визначає ключові показники ефективності Виконавчому органу для відстеження прогресу у досягненні цілей особи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Рада не визначає ключові показники ефективності Виконавчому органу для відстеження прогресу у досягненні цілей особи</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Виконавчий орган регулярно звітує Наглядовій раді про прогрес у впровадженні стратегії особи </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Виконавчий орган  звітує перед загальними зборами акціонерів</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Виконавчий орган інформує голову Наглядової ради про будь-які значні події, які сталися в період між засіданнями Наглядової ради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uk-ua" w:eastAsia="uk-ua"/>
              </w:rPr>
              <w:t xml:space="preserve">Голова правління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нформує загальні збори акціонерів та голову Наглядової ради про будь-як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значн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под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сталися в 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од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ж зас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даннями Наглядової ради.</w:t>
            </w:r>
            <w:r>
              <w:rPr>
                <w:rFonts w:ascii="Times New Roman" w:hAnsi="Times New Roman" w:eastAsia="Times New Roman"/>
                <w:sz w:val="24"/>
                <w:szCs w:val="24"/>
                <w:lang w:val="uk-ua" w:eastAsia="uk-ua"/>
              </w:rPr>
            </w:r>
          </w:p>
        </w:tc>
      </w:tr>
    </w:tbl>
    <w:p>
      <w:pPr>
        <w:rPr>
          <w:rFonts w:eastAsia="Times New Roman"/>
          <w:lang w:val="uk-ua" w:eastAsia="uk-ua"/>
        </w:rPr>
      </w:pPr>
      <w:r>
        <w:rPr>
          <w:rFonts w:eastAsia="Times New Roman"/>
          <w:lang w:val="uk-ua" w:eastAsia="uk-ua"/>
        </w:rPr>
      </w:r>
    </w:p>
    <w:tbl>
      <w:tblPr>
        <w:tblStyle w:val="NormalTable"/>
        <w:name w:val="Таблица30"/>
        <w:tabOrder w:val="0"/>
        <w:jc w:val="left"/>
        <w:tblInd w:w="0" w:type="dxa"/>
        <w:tblW w:w="9912" w:type="dxa"/>
        <w:tblLook w:val="0000" w:firstRow="0" w:lastRow="0" w:firstColumn="0" w:lastColumn="0" w:noHBand="0" w:noVBand="0"/>
      </w:tblPr>
      <w:tblGrid>
        <w:gridCol w:w="4504"/>
        <w:gridCol w:w="1578"/>
        <w:gridCol w:w="3830"/>
      </w:tblGrid>
      <w:tr>
        <w:trPr>
          <w:cantSplit w:val="0"/>
          <w:trHeight w:val="60" w:hRule="atLeast"/>
        </w:trPr>
        <w:tc>
          <w:tcPr>
            <w:tcW w:w="4504"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6. Винагорода</w:t>
            </w:r>
            <w:r>
              <w:rPr>
                <w:rFonts w:ascii="Times New Roman" w:hAnsi="Times New Roman" w:eastAsia="Times New Roman"/>
                <w:color w:val="000000"/>
                <w:lang w:val="uk-ua" w:eastAsia="uk-ua"/>
              </w:rPr>
            </w:r>
          </w:p>
        </w:tc>
        <w:tc>
          <w:tcPr>
            <w:tcW w:w="1578"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3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ради працюють на безоплатн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Винагорода Голови правління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дає ринковим показникам у галуз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винагороди для виконавчого органу пов’язаний з результатами діяльності особи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Розмір винагороди Голови правління пов'язаний з результатами діяльності Товариства.</w:t>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Винагорода членів ради (невиконавчих директорів) є фіксованою та не залежить від досягнення особою фінансових показників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ради працюють на безоплатн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p>
        </w:tc>
      </w:tr>
    </w:tbl>
    <w:p>
      <w:pPr>
        <w:rPr>
          <w:rFonts w:eastAsia="Times New Roman"/>
          <w:lang w:val="uk-ua" w:eastAsia="uk-ua"/>
        </w:rPr>
      </w:pPr>
      <w:r>
        <w:rPr>
          <w:rFonts w:eastAsia="Times New Roman"/>
          <w:lang w:val="uk-ua" w:eastAsia="uk-ua"/>
        </w:rPr>
      </w:r>
    </w:p>
    <w:tbl>
      <w:tblPr>
        <w:tblStyle w:val="NormalTable"/>
        <w:name w:val="Таблица31"/>
        <w:tabOrder w:val="0"/>
        <w:jc w:val="left"/>
        <w:tblInd w:w="0" w:type="dxa"/>
        <w:tblW w:w="9912" w:type="dxa"/>
        <w:tblLook w:val="0000" w:firstRow="0" w:lastRow="0" w:firstColumn="0" w:lastColumn="0" w:noHBand="0" w:noVBand="0"/>
      </w:tblPr>
      <w:tblGrid>
        <w:gridCol w:w="4499"/>
        <w:gridCol w:w="1585"/>
        <w:gridCol w:w="3828"/>
      </w:tblGrid>
      <w:tr>
        <w:trPr>
          <w:cantSplit w:val="0"/>
          <w:trHeight w:val="60" w:hRule="atLeast"/>
        </w:trPr>
        <w:tc>
          <w:tcPr>
            <w:tcW w:w="44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color w:val="000000"/>
                <w:szCs w:val="24"/>
                <w:lang w:val="uk-ua" w:eastAsia="uk-ua"/>
              </w:rPr>
              <w:t>7. Розкриття інформації і прозорість</w:t>
            </w:r>
            <w:r>
              <w:rPr>
                <w:rFonts w:ascii="Times New Roman" w:hAnsi="Times New Roman" w:eastAsia="Times New Roman"/>
                <w:color w:val="000000"/>
                <w:sz w:val="24"/>
                <w:szCs w:val="24"/>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28"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затверджена та оприлюднена політика </w:t>
              <w:br w:type="textWrapping"/>
              <w:t>щодо розкриття інформації, яка визначає інформацію, що її повинна розкривати особа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Полiтика щодо розкриття iнформацiї у виглядi окремого документа не затверджувалася, при розкриттi iнформацiї Товариство керується вимогами НКЦПФР, зокрема Положенням про розкриття iнформацiї емiтентами цiнних паперiв.</w:t>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br w:type="textWrapping"/>
              <w:t xml:space="preserve">складання фінансових звітів особи відповідно до чинного законодавства та міжнародних </w:t>
              <w:br w:type="textWrapping"/>
              <w:t>стандартів фінансової звітності</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Нагляд ради за виконавчим органом у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дготовц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МСФЗ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Адреса вебсайту особи містить окремий розділ, присвячений виключно питанням корпоративного управління</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Веб-сайт Товариства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стить окремий 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 присвячений виключно питанням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це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для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стейкхолдер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tbl>
      <w:tblPr>
        <w:tblStyle w:val="NormalTable"/>
        <w:name w:val="Таблица32"/>
        <w:tabOrder w:val="0"/>
        <w:jc w:val="left"/>
        <w:tblInd w:w="0" w:type="dxa"/>
        <w:tblW w:w="9912" w:type="dxa"/>
        <w:tblLook w:val="0000" w:firstRow="0" w:lastRow="0" w:firstColumn="0" w:lastColumn="0" w:noHBand="0" w:noVBand="0"/>
      </w:tblPr>
      <w:tblGrid>
        <w:gridCol w:w="4502"/>
        <w:gridCol w:w="1585"/>
        <w:gridCol w:w="3825"/>
      </w:tblGrid>
      <w:tr>
        <w:trPr>
          <w:cantSplit w:val="0"/>
          <w:trHeight w:val="60" w:hRule="atLeast"/>
        </w:trPr>
        <w:tc>
          <w:tcPr>
            <w:tcW w:w="4502"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color w:val="000000"/>
                <w:szCs w:val="24"/>
                <w:lang w:val="uk-ua" w:eastAsia="uk-ua"/>
              </w:rPr>
              <w:t>8. Система контролю і стандарти етики</w:t>
            </w:r>
            <w:r>
              <w:rPr>
                <w:rFonts w:ascii="Times New Roman" w:hAnsi="Times New Roman" w:eastAsia="Times New Roman"/>
                <w:color w:val="000000"/>
                <w:sz w:val="24"/>
                <w:szCs w:val="24"/>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2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створена система внутрішнього контролю, яка відповідає моделі концепції «трьох ліній захисту» </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Система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шнього контролю, яка передбачає модель трьох 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захисту,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Рада (невиконавчі директори ради директорів) </w:t>
              <w:br w:type="textWrapping"/>
              <w:t xml:space="preserve">має механізми внутрішнього контролю особи, </w:t>
              <w:br w:type="textWrapping"/>
              <w:t>маючи змогу залучити внутрішнього аудитора та зовнішнього аудитора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Рада директорів відсутня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Функція комплаєнс та ризик-менеджменту підзвітна раді (невиконавчим директорам ради директорів)</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Функція комплаєнс та ризик-менеджменту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дсутня.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політику з питань </w:t>
              <w:br w:type="textWrapping"/>
              <w:t>управління ризиками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Політика з управляння ризиками не затверджувалася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затверджено декларацію схильності до ризиків</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Декларац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схильност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 ризик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затверджувалася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Рада (невиконавчі директори ради директорів) розглядає звіт щодо управління ризиками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ризиками не складався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 затверджувався наглядовою радою.</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затверджено та оприлюднено кодекс етики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Кодекс етики не затверджувався.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забезпечено можливість анонімно і безпечно повідомляти про неправомірну чи неетичну поведінку</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Кодекс етики вiдсутнiй.</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та оприлюднено політику </w:t>
              <w:br w:type="textWrapping"/>
              <w:t>щодо запобігання корупції</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щодо запоб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гання корупц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затверджувалася.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та оприлюднено політику </w:t>
              <w:br w:type="textWrapping"/>
              <w:t>щодо конфлікту інтересів, яка покриває такі питання:</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a) конфлікту інтересів, запобігання і управління конфліктом інтересів;</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б) правочинів із заінтересованістю;</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інсайдерської торгівлі; та</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г) зловживання службовим становищем</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щодо конфл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кту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затверджувалася.</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tbl>
      <w:tblPr>
        <w:tblStyle w:val="NormalTable"/>
        <w:name w:val="Таблица33"/>
        <w:tabOrder w:val="0"/>
        <w:jc w:val="left"/>
        <w:tblInd w:w="0" w:type="dxa"/>
        <w:tblW w:w="9912" w:type="dxa"/>
        <w:tblLook w:val="0000" w:firstRow="0" w:lastRow="0" w:firstColumn="0" w:lastColumn="0" w:noHBand="0" w:noVBand="0"/>
      </w:tblPr>
      <w:tblGrid>
        <w:gridCol w:w="4501"/>
        <w:gridCol w:w="1585"/>
        <w:gridCol w:w="3826"/>
      </w:tblGrid>
      <w:tr>
        <w:trPr>
          <w:cantSplit w:val="0"/>
          <w:trHeight w:val="60" w:hRule="atLeast"/>
        </w:trPr>
        <w:tc>
          <w:tcPr>
            <w:tcW w:w="450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9. Оцінка корпоративного управління</w:t>
            </w:r>
            <w:r>
              <w:rPr>
                <w:rFonts w:ascii="Times New Roman" w:hAnsi="Times New Roman" w:eastAsia="Times New Roman"/>
                <w:color w:val="000000"/>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2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формалізована процедура </w:t>
              <w:br w:type="textWrapping"/>
              <w:t xml:space="preserve">щорічної самооцінки членів ради </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Процедура щорiчної самооцiнки членiв наглядової ради вiдсутня.</w:t>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Процедура щорiчної самооцiнки членiв наглядової ради вiдсутня.</w:t>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Кожні три роки проводиться комплексна оцінка системи корпоративного управління із залученням незалежного зовнішнього експерта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нка системи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 залученням незалежного зовн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шнього експерта не проводиться.</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2"/>
          <w:footerReference w:type="default" r:id="rId23"/>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13"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4. Рада</w:t>
      </w:r>
    </w:p>
    <w:p>
      <w:pPr>
        <w:ind w:firstLine="283"/>
        <w:spacing w:before="113"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ind w:firstLine="283"/>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Персональний склад ради та її комітетів</w:t>
      </w:r>
    </w:p>
    <w:tbl>
      <w:tblPr>
        <w:tblStyle w:val="NormalTable"/>
        <w:name w:val="Таблица34"/>
        <w:tabOrder w:val="0"/>
        <w:jc w:val="left"/>
        <w:tblInd w:w="0" w:type="dxa"/>
        <w:tblW w:w="16113" w:type="dxa"/>
        <w:tblLook w:val="0000" w:firstRow="0" w:lastRow="0" w:firstColumn="0" w:lastColumn="0" w:noHBand="0" w:noVBand="0"/>
      </w:tblPr>
      <w:tblGrid>
        <w:gridCol w:w="5494"/>
        <w:gridCol w:w="1386"/>
        <w:gridCol w:w="1821"/>
        <w:gridCol w:w="1434"/>
        <w:gridCol w:w="1950"/>
        <w:gridCol w:w="2030"/>
        <w:gridCol w:w="1998"/>
      </w:tblGrid>
      <w:tr>
        <w:trPr>
          <w:cantSplit w:val="0"/>
          <w:trHeight w:val="213" w:hRule="atLeast"/>
        </w:trPr>
        <w:tc>
          <w:tcPr>
            <w:tcW w:w="170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Ім’я члена ради, строк повноважень у звітному періоді</w:t>
            </w:r>
          </w:p>
        </w:tc>
        <w:tc>
          <w:tcPr>
            <w:tcW w:w="430"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w:t>
            </w:r>
          </w:p>
        </w:tc>
        <w:tc>
          <w:tcPr>
            <w:tcW w:w="56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44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Голова/ заступник голови ради</w:t>
            </w:r>
          </w:p>
        </w:tc>
        <w:tc>
          <w:tcPr>
            <w:tcW w:w="1855" w:type="pct"/>
            <w:gridSpan w:val="3"/>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Голова / член комітету ради</w:t>
            </w:r>
          </w:p>
        </w:tc>
      </w:tr>
      <w:tr>
        <w:trPr>
          <w:cantSplit w:val="0"/>
          <w:trHeight w:val="60" w:hRule="atLeast"/>
        </w:trPr>
        <w:tc>
          <w:tcPr>
            <w:tcW w:w="170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430"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56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44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1</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Комітет 2</w:t>
            </w:r>
            <w:r>
              <w:rPr>
                <w:rFonts w:ascii="Times New Roman" w:hAnsi="Times New Roman" w:eastAsia="Times New Roman"/>
                <w:b/>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Комітет 3</w:t>
            </w:r>
            <w:r>
              <w:rPr>
                <w:rFonts w:ascii="Times New Roman" w:hAnsi="Times New Roman" w:eastAsia="Times New Roman"/>
                <w:b/>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1</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5</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6</w:t>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7</w:t>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Лобов Сергiй Вiкторович, з 01.01.2022-31.12.2022</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X</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Iванов Олексiй Миколайович, з 01.01.2022-31.12.2022</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Усенко Антон Юрiйович, з 01.01.2022-31.12.2022</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4"/>
          <w:footerReference w:type="default" r:id="rId25"/>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Звіт ради</w:t>
      </w:r>
      <w:r>
        <w:rPr>
          <w:rFonts w:ascii="Times New Roman" w:hAnsi="Times New Roman" w:eastAsia="Times New Roman"/>
          <w:b/>
          <w:color w:val="000000"/>
          <w:sz w:val="24"/>
          <w:szCs w:val="24"/>
          <w:lang w:val="en-us" w:eastAsia="uk-ua"/>
        </w:rPr>
        <w:t xml:space="preserve"> </w:t>
      </w:r>
      <w:r>
        <w:rPr>
          <w:rFonts w:ascii="Times New Roman" w:hAnsi="Times New Roman" w:eastAsia="Times New Roman"/>
          <w:b/>
          <w:color w:val="000000"/>
          <w:sz w:val="24"/>
          <w:szCs w:val="24"/>
          <w:lang w:val="uk-ua" w:eastAsia="uk-ua"/>
        </w:rPr>
        <w:t>:</w:t>
      </w:r>
      <w:r>
        <w:rPr>
          <w:rFonts w:ascii="Times New Roman" w:hAnsi="Times New Roman" w:eastAsia="Times New Roman"/>
          <w:b/>
          <w:color w:val="000000"/>
          <w:sz w:val="24"/>
          <w:szCs w:val="24"/>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Зміни у персональному складі посадових осіб - членів наглядової ради протягом звітного року відсутні.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Функціональні обов'язки кожного члена наглядової ради визначені чинним законодавством, статутом, положенням про наглядову раду, а також цивільно-правовим договором, що укладений з кожним членом наглядової ради.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 2022 році збори Наглядової ради не проводились у зв’язку обставинами непереборної сили (форс-мажору), а саме воєнних дій, військової агресії російської федерації на території України та оголошення воєнного стану в України з 24.02.2022 року відповідно до Указу Президента України № 64/2022 від 24.02.2022 року. Воєнний стан діяв до 31.12.2022 року.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Постійні обстріли території України, в тому числі міста Києва, бойові дії та окупація частини Київської області призвело до неможливості здійснення діяльності як самого ПРАТ «Макіївський завод «Факел», а також у зв’язку з необхідністю дотримання безпеки діяльності всіх осіб – засідання Наглядової ради не проводилось.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оцінка компетентності та ефективності кожного члена наглядової ради, включаючи інформацію про його діяльність як посадової особи інших юридичних осіб або іншу діяльність – оплачувану і безоплатну.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Лобов Сергій Вікторович – Голова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 до Протоколу загальних збор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11.04.2017 року повноваження Голови Наглядової ради Лобова Серг</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кторовича подовжено з 12.04.2017 року строком на п’ять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Товариства не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 Посади протягом останніх п'яти років: директор ТОВ "Гранд". Непогашеної судимост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корислив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посадов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злочини не має. Винагороду як Голова Наглядової ради ні в натуральній, ні в грошовій формі не отримує.</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Іванов Олексій Миколайович – член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Відповідно до Протоколу загальних збор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11.04.2017 року прийнято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шення про обрання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ванова Олекс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Миколайовича на посаду члена Наглядової ради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з 12.04.2017 року строком на п’ять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Протягом останніх 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ванов Олекс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Миколайович 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ймав наступн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посади: З 06.01.2009 р. - 03.07.2013 року обіймав посаду директора ТОВ «Арв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 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стем» ЄДРПОУ 36272272; З 08.07.2013 – 09.09.2016 р. обіймав посаду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нженера-технолога господарського відділу Державної наукової установи «Науково-практичний центр профілактичної та клінічної медицини» Державного управління справами ЄДРПОУ 05415786.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Усенко Антон Юрійович – член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Протоколу загальних зборів акціонерів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11.04.2017 року прийнято рішення про обрання Усенко Антона Юр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йовича на посаду члена Наглядової ради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ївський завод «Факел» з 12.04.2017 року строком на п’ять років. Протягом останніх 5 років Усенко Антон Юрійович обіймав наступні посади: З 01.07.2009 р. - 01.02.2010 року обіймав посаду портьє ТОВ «Золотий терикон» ЄДРПОУ 32274428; З 01.02.2010 – 28.09.2012 р. обіймав посаду адміністратора ТОВ «Золотий терикон» ЄДРПОУ 32274428.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 оцінка незалежності кожного з незалежних членів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Лобов Сергій Вікторович – Голова Наглядової ради.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Іванов Олексій Миколайович – член Наглядової ради.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Усенко Антон Юрійович – член Наглядової ради.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 оцінка компетентності та  ефективності кожного з комітетів ради, їхні функціональні повноваження.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у складі наглядової ради відсутні ті та не створювались.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 оцінка виконання наглядовою радою поставлених цілей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Наглядова рада ПРАТ «Макіївський завод «Факел» діє відповідно до повноважень, визначених законодавством, статутом та положенням про наглядову раду, однак протягом 2022 року наглядова рада не збиралась та свою діяльність не здійснювала у зв’язку з військовою агресією російської федерації на території України та оголошенням воєнного стану в України з 24.02.2022 року відповідно до Указу Президента України № 64/2022 від 24.02.2022 року.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 інформація про внутрішню структуру наглядової ради, процедури, що застосовуються при прийнятті нею рішень.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Під час прийняття рішень Наглядова рада ПРАТ «Макіївський завод «Факел» завжди керується нормами  чинного законодавства України, Статутом ПРАТ «Макіївський завод «Факел» та відповідним положенням про наглядову раду.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Члени Наглядової ради зобов’язані брати участь в засіданнях ради особисто. Рішення наглядової  ради приймається простою більшістю голосів членів наглядової ради, які беруть участь в засіданні після обговорення кожного з питань порядку денного та голосування по кожному з питань порядку денного.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наглядової ради виконують свої обов’язки  на безоплатній основі.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Зауважень від акціонерів щодо відсутності засідань  Наглядової ради в 2022 році не надходили.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Наглядової ради ПРАТ «Макіївський завод «Факел» Лобов С.В.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6"/>
          <w:footerReference w:type="default" r:id="rId27"/>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70"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5. Виконавчий орган</w:t>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ind w:firstLine="283"/>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Персональний склад колегіального виконавчого органу та його комітетів</w:t>
      </w:r>
    </w:p>
    <w:tbl>
      <w:tblPr>
        <w:tblStyle w:val="NormalTable"/>
        <w:name w:val="Таблица35"/>
        <w:tabOrder w:val="0"/>
        <w:jc w:val="left"/>
        <w:tblInd w:w="0" w:type="dxa"/>
        <w:tblW w:w="16113" w:type="dxa"/>
        <w:tblLook w:val="0000" w:firstRow="0" w:lastRow="0" w:firstColumn="0" w:lastColumn="0" w:noHBand="0" w:noVBand="0"/>
      </w:tblPr>
      <w:tblGrid>
        <w:gridCol w:w="5494"/>
        <w:gridCol w:w="1386"/>
        <w:gridCol w:w="1821"/>
        <w:gridCol w:w="1434"/>
        <w:gridCol w:w="1950"/>
        <w:gridCol w:w="2030"/>
        <w:gridCol w:w="1998"/>
      </w:tblGrid>
      <w:tr>
        <w:trPr>
          <w:cantSplit w:val="0"/>
          <w:trHeight w:val="213" w:hRule="atLeast"/>
        </w:trPr>
        <w:tc>
          <w:tcPr>
            <w:tcW w:w="170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Ім’я члена</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виконавчого органу, строк повноважень у</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звітному періоді</w:t>
            </w:r>
            <w:r>
              <w:rPr>
                <w:rFonts w:ascii="Times New Roman" w:hAnsi="Times New Roman" w:eastAsia="Times New Roman"/>
                <w:b/>
                <w:color w:val="000000"/>
                <w:sz w:val="20"/>
                <w:szCs w:val="20"/>
                <w:lang w:val="uk-ua" w:eastAsia="uk-ua"/>
              </w:rPr>
            </w:r>
          </w:p>
        </w:tc>
        <w:tc>
          <w:tcPr>
            <w:tcW w:w="430"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w:t>
            </w:r>
          </w:p>
        </w:tc>
        <w:tc>
          <w:tcPr>
            <w:tcW w:w="56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44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Голова/ заступник голови </w:t>
            </w:r>
            <w:r>
              <w:rPr>
                <w:rFonts w:ascii="Times New Roman" w:hAnsi="Times New Roman" w:eastAsia="Times New Roman"/>
                <w:b/>
                <w:bCs/>
                <w:color w:val="000000"/>
                <w:sz w:val="20"/>
                <w:szCs w:val="20"/>
                <w:lang w:val="uk-ua" w:eastAsia="uk-ua"/>
              </w:rPr>
              <w:t>виконавчого органу</w:t>
            </w:r>
            <w:r>
              <w:rPr>
                <w:rFonts w:ascii="Times New Roman" w:hAnsi="Times New Roman" w:eastAsia="Times New Roman"/>
                <w:b/>
                <w:color w:val="000000"/>
                <w:sz w:val="20"/>
                <w:szCs w:val="20"/>
                <w:lang w:val="uk-ua" w:eastAsia="uk-ua"/>
              </w:rPr>
            </w:r>
          </w:p>
        </w:tc>
        <w:tc>
          <w:tcPr>
            <w:tcW w:w="1855" w:type="pct"/>
            <w:gridSpan w:val="3"/>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Голова / член комітету </w:t>
            </w:r>
            <w:r>
              <w:rPr>
                <w:rFonts w:ascii="Times New Roman" w:hAnsi="Times New Roman" w:eastAsia="Times New Roman"/>
                <w:b/>
                <w:bCs/>
                <w:color w:val="000000"/>
                <w:sz w:val="20"/>
                <w:szCs w:val="20"/>
                <w:lang w:val="uk-ua" w:eastAsia="uk-ua"/>
              </w:rPr>
              <w:t>виконавчого органу</w:t>
            </w:r>
            <w:r>
              <w:rPr>
                <w:rFonts w:ascii="Times New Roman" w:hAnsi="Times New Roman" w:eastAsia="Times New Roman"/>
                <w:b/>
                <w:color w:val="000000"/>
                <w:sz w:val="20"/>
                <w:szCs w:val="20"/>
                <w:lang w:val="uk-ua" w:eastAsia="uk-ua"/>
              </w:rPr>
            </w:r>
          </w:p>
        </w:tc>
      </w:tr>
      <w:tr>
        <w:trPr>
          <w:cantSplit w:val="0"/>
          <w:trHeight w:val="60" w:hRule="atLeast"/>
        </w:trPr>
        <w:tc>
          <w:tcPr>
            <w:tcW w:w="170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430"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56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44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1</w:t>
            </w:r>
            <w:r>
              <w:rPr>
                <w:rFonts w:ascii="Times New Roman" w:hAnsi="Times New Roman" w:eastAsia="Times New Roman"/>
                <w:b/>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2</w:t>
            </w:r>
            <w:r>
              <w:rPr>
                <w:rFonts w:ascii="Times New Roman" w:hAnsi="Times New Roman" w:eastAsia="Times New Roman"/>
                <w:b/>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3</w:t>
            </w:r>
            <w:r>
              <w:rPr>
                <w:rFonts w:ascii="Times New Roman" w:hAnsi="Times New Roman" w:eastAsia="Times New Roman"/>
                <w:b/>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1</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5</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6</w:t>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7</w:t>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Горда Максим Сергійович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X</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Демидовап Юлія Олександрівна</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Кононенко Наталія Анатоліївна</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8"/>
          <w:footerReference w:type="default" r:id="rId29"/>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firstLine="283"/>
        <w:spacing w:before="113"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2.</w:t>
      </w:r>
    </w:p>
    <w:p>
      <w:pPr>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 xml:space="preserve">Інформація про проведені засідання колегіального виконавчого органу </w:t>
        <w:br w:type="textWrapping"/>
        <w:t>та загальний опис прийнятих рішень</w:t>
      </w:r>
    </w:p>
    <w:tbl>
      <w:tblPr>
        <w:tblStyle w:val="NormalTable"/>
        <w:name w:val="Таблица36"/>
        <w:tabOrder w:val="0"/>
        <w:jc w:val="left"/>
        <w:tblInd w:w="0" w:type="dxa"/>
        <w:tblW w:w="9922" w:type="dxa"/>
        <w:tblLook w:val="0000" w:firstRow="0" w:lastRow="0" w:firstColumn="0" w:lastColumn="0" w:noHBand="0" w:noVBand="0"/>
      </w:tblPr>
      <w:tblGrid>
        <w:gridCol w:w="3155"/>
        <w:gridCol w:w="6767"/>
      </w:tblGrid>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Кількість засідань </w:t>
            </w:r>
            <w:r>
              <w:rPr>
                <w:rFonts w:ascii="Times New Roman" w:hAnsi="Times New Roman" w:eastAsia="Times New Roman"/>
                <w:b/>
                <w:color w:val="000000"/>
                <w:spacing w:val="-2"/>
                <w:sz w:val="20"/>
                <w:szCs w:val="24"/>
                <w:lang w:val="uk-ua" w:eastAsia="uk-ua"/>
              </w:rPr>
              <w:t>колегіального виконавчого органу</w:t>
            </w:r>
            <w:r>
              <w:rPr>
                <w:rFonts w:ascii="Times New Roman" w:hAnsi="Times New Roman" w:eastAsia="Times New Roman"/>
                <w:b/>
                <w:color w:val="000000"/>
                <w:sz w:val="16"/>
                <w:szCs w:val="20"/>
                <w:lang w:val="uk-ua" w:eastAsia="uk-ua"/>
              </w:rPr>
              <w:t xml:space="preserve"> </w:t>
            </w:r>
            <w:r>
              <w:rPr>
                <w:rFonts w:ascii="Times New Roman" w:hAnsi="Times New Roman" w:eastAsia="Times New Roman"/>
                <w:b/>
                <w:color w:val="000000"/>
                <w:sz w:val="20"/>
                <w:szCs w:val="20"/>
                <w:lang w:val="uk-ua" w:eastAsia="uk-ua"/>
              </w:rPr>
              <w:t>у звітному періоді:</w:t>
            </w:r>
            <w:r>
              <w:rPr>
                <w:rFonts w:ascii="Times New Roman" w:hAnsi="Times New Roman" w:eastAsia="Times New Roman"/>
                <w:b/>
                <w:color w:val="000000"/>
                <w:sz w:val="20"/>
                <w:szCs w:val="20"/>
                <w:lang w:val="uk-ua" w:eastAsia="uk-ua"/>
              </w:rPr>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заочних: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19"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Опис ключових рішень </w:t>
            </w:r>
            <w:r>
              <w:rPr>
                <w:rFonts w:ascii="Times New Roman" w:hAnsi="Times New Roman" w:eastAsia="Times New Roman"/>
                <w:b/>
                <w:color w:val="000000"/>
                <w:spacing w:val="-2"/>
                <w:sz w:val="20"/>
                <w:szCs w:val="24"/>
                <w:lang w:val="uk-ua" w:eastAsia="uk-ua"/>
              </w:rPr>
              <w:t>колегіального виконавчого органу</w:t>
            </w:r>
            <w:r>
              <w:rPr>
                <w:rFonts w:ascii="Times New Roman" w:hAnsi="Times New Roman" w:eastAsia="Times New Roman"/>
                <w:b/>
                <w:color w:val="000000"/>
                <w:sz w:val="20"/>
                <w:szCs w:val="20"/>
                <w:lang w:val="uk-ua" w:eastAsia="uk-ua"/>
              </w:rPr>
              <w:t>:</w:t>
            </w:r>
            <w:r>
              <w:rPr>
                <w:rFonts w:ascii="Times New Roman" w:hAnsi="Times New Roman" w:eastAsia="Times New Roman"/>
                <w:b/>
                <w:color w:val="000000"/>
                <w:sz w:val="20"/>
                <w:szCs w:val="20"/>
                <w:lang w:val="uk-ua" w:eastAsia="uk-ua"/>
              </w:rPr>
            </w:r>
          </w:p>
        </w:tc>
        <w:tc>
          <w:tcPr>
            <w:tcW w:w="341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За період 2022 року засідання виконавчого органу не проводилось.</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Засідання Правління проводяться в міру необхідності. В звітному періоді засідання не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правління відповідно до Статуту представляє інтереси товариства без довіреності та виконує інші, покладені на нього повноваження виконавчого органу.</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В описі можна зазначити так.</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Засідання Правління проводяться в міру необхідності. В звітному періоді засідання не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eastAsia="uk-ua"/>
              </w:rPr>
              <w:t>Голова правління відповідно до Статуту представляє інтереси товариства без довіреності та виконує інші, покладені на нього повноваження.</w:t>
            </w: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Звіт виконавчого органу:</w:t>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IV</w:t>
      </w:r>
      <w:r>
        <w:rPr>
          <w:rFonts w:ascii="Times New Roman" w:hAnsi="Times New Roman" w:eastAsia="Times New Roman"/>
          <w:sz w:val="20"/>
          <w:szCs w:val="20"/>
          <w:lang w:eastAsia="uk-ua"/>
        </w:rPr>
        <w:t>."Нефінансова інформація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 Звіт виконавчого органу.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 Інформація про"розвиток та"вірогідні перспективи подальшого розвитку особи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Так, на 2022 рік Товариство маємо низку підписаних та пролонгованих Договорів з ключовими контрагентами: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ПрАТ "ШУ "Покровське" - Договір № 2626П від 22.12.2018 року та підписано Специфікацію   на  загальну суму понад 4 млн.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 ТДВ "Шахта "Білозерська" підписана Додаткова угода до Договору № 7450-ШБЗ-УМТС-Т від 28.10.2019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 ТОВ "ДТЕК  Павлоградвугілля" підписана Додаткова угода до Договору № 7442-ПУ-УМТС-Т від 28-12-2018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Підписано  Договір постачання    з ДП "Селидіввугілля" на загальну суму понад 2 млн.гривень.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Підписано  Договір постачання    з ДП "Мирноградвугілля" на загальну суму понад 2 млн.гривень.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Підписано  Договір постачання    з ДП "Волиньвугілля" на загальну суму 143 880 .гривень.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Плідна співпраця з підприємствами державного й приватного сектору, що є одним з найнадійніших серед тих, що добувають кам'яне вугілля в Україні, дає додатковий поштовх у розвитку ПРАТ "МАКІЇВСЬКИЙ ЗАВОД "ФАКЕЛ".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Інформація про"укладення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у"межах провадження нею клірингової діяльності центрального контрагента), якщо це впливає на"оцінку його активів, зобов’язань, фінансового стану і"доходів або витрат</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Укладання деривативів, або вчинення правочинів щодо похідних цінних паперів протягом 2020 року емітентом не здійснювалось, тому відсутній вплив даних факторів на оцінку активів, зобов'язань, фінансового стану і доходів або витрат емітента.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Інформація про"завдання та"політику особи щодо управління фінансовими ризиками, у"тому числі політику щодо страхування кожного основного виду прогнозованої операції, для якої використовуються операції хеджування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розробляло та не здійснювало завдання та політику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Інформація про схильність особи до"цінових ризиків, кредитного ризику, ризику ліквідності та/або ризику грошових потоків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Щодо питання фінансових ризиків, то товариство у 2021 році, як і у попередніх роках, не укладало угод з банками та іншими фінансовими установами щодо користування кредитними коштами, що в свою чергу свідчить про те, що  на підприємстві немає жодних боргів з непогашених кредитів до будь яких фінансових установ. Не укладались також депозитні договори та договори страхування майна/відповідальності.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Керівництво Товариства визнає, що діяльність Товариства в сучасних економічних умовах пов'язана з ризиками і вартість активів Товариства у нестабільному ринковому середовищі може суттєво змінитись унаслідок впливу суб'єктивних та об'єктивних чинників, вірогідність та напрямок впливу яких заздалегідь точно передбачити неможливо. До таких ризиків віднесено кредитний ризик, ринковий ризик та ризик ліквідності.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Управляння ризиками керівництвом Товариства здійснюється на основі розуміння причин виникнення ризику, його можливого впливу на вартість чистих активів та застосування інструментарію щодо його пом'якшення.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Кредитний ризик - ризик того, що одна сторона к контракту не зможе виконати зобов'язання   і це буде причиною фінансового збитку іншої сторони. Товариство схильно до кредитного ризику, який виражається як ризик того, що контрагент дебітор не буде здатний в повному обсязі й в певний час погасити свої зобов'язання. Кредитний ризик регулярно контролюється і здійснюється за допомогою аналізу здатності контрагента сплатити заборгованість. Товариство намагається укладати угоди з перевіреними, відомими й фінансово стабільними контрагентами. Також Товариство за допомогою отримання інформації із загальнодоступних інформаційних баз даних Національної комісії з цінних паперів та фондового ринку, Єдиного державного реєстру юридичних осіб, фізичних осіб-підприємців та громадських формувань, Автоматизованої системи виконавчих проваджень, інформаційного порталу Державної податкової служби, а також через інформацію отриману безпосередньо від контрагента, аналізує інформацію щодо фінансового стану та змін в діяльності такого контрагента.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Як зазначалося вище кредитних договорів, договорів застав та подібних до них договорів у звітному році Товариство не укладало й не має не виконаних договорів зі свого боку.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Ринковий ризик - це ризик того, що справедлива вартість або майбутні грошові потоки від реалізації продукції коливатимуться внаслідок змін ринкових цін або втрати  частини ринку збуту. Ринковий ризик включає валютний ризик, відсотковий ризик та інший ціновий ризик. Ринковий ризик виникає у зв'язку з ризиками збитків, зумовлених коливанням цін на продукцію, обсягами її продажу, зміною валютних курсів. Інший ціновий ризик - це ризик того, що справедлива вартість або майбутні грошові потоки від реалізації продукції коливатимуться внаслідок змін ринкових цін. Валютний ризик - це ризик того, що справедлива вартість або майбутні грошові потоки від господарської діяльності коливатимуться від змін валютних курсів. Оскільки на даний час Товариство не має операцій в іноземній валюті, вплив валютного ризику на вартість чистих активів Товариства мінімальний. Відсотковий ризик - це ризик того, що справедлива вартість або майбутні грошові потоки від ведення господарської діяльності коливатимуться внаслідок ринкових відсоткових ставок. Процентних фінансових зобов'язань Товариство не має, у зв'язку з тим, що не має укладених кредитних угод, а тому й ризик коливань процентних ставок для Товариства мінімальний.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здійснює контроль ліквідності шляхом планування поточної заборгованістю ліквідності, аналізує терміни платежів, які пов'язані з дебіторською та іншими фінансовими активами, а також прогнозні потоки  грошових коштів від операційної діяльності. Суттєвий вплив на діяльність Товариства можуть мати такі зовнішні ризики, як нестабільність, суперечливість законодавства, непередбачувані дії державних, нестабільність економічної (фінансової, податкової, зовнішньоекономічної та іншої) політики, обставини непереборної сили (форс-мажор), зокрема пандемії короновірусу </w:t>
      </w:r>
      <w:r>
        <w:rPr>
          <w:rFonts w:ascii="Times New Roman" w:hAnsi="Times New Roman" w:eastAsia="Times New Roman"/>
          <w:sz w:val="20"/>
          <w:szCs w:val="20"/>
          <w:lang w:val="en-us" w:eastAsia="uk-ua"/>
        </w:rPr>
        <w:t>COVID</w:t>
      </w:r>
      <w:r>
        <w:rPr>
          <w:rFonts w:ascii="Times New Roman" w:hAnsi="Times New Roman" w:eastAsia="Times New Roman"/>
          <w:sz w:val="20"/>
          <w:szCs w:val="20"/>
          <w:lang w:eastAsia="uk-ua"/>
        </w:rPr>
        <w:t xml:space="preserve">-19 </w:t>
      </w:r>
      <w:r>
        <w:rPr>
          <w:rFonts w:ascii="Times New Roman" w:hAnsi="Times New Roman" w:eastAsia="Times New Roman"/>
          <w:sz w:val="20"/>
          <w:szCs w:val="20"/>
          <w:lang w:val="en-us" w:eastAsia="uk-ua"/>
        </w:rPr>
        <w:t>SARS</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CoV</w:t>
      </w:r>
      <w:r>
        <w:rPr>
          <w:rFonts w:ascii="Times New Roman" w:hAnsi="Times New Roman" w:eastAsia="Times New Roman"/>
          <w:sz w:val="20"/>
          <w:szCs w:val="20"/>
          <w:lang w:eastAsia="uk-ua"/>
        </w:rPr>
        <w:t xml:space="preserve">-2, воєнного стану та воєнних дій на всій території України, спровокованої </w:t>
      </w:r>
      <w:r>
        <w:rPr>
          <w:rFonts w:ascii="Times New Roman" w:hAnsi="Times New Roman" w:eastAsia="Times New Roman"/>
          <w:sz w:val="20"/>
          <w:szCs w:val="20"/>
          <w:lang w:eastAsia="uk-ua"/>
        </w:rPr>
        <w:t>військовою агресією російської федерації непередбачувані зміни кон'юнктуру ринку як внутрішнього так і зовнішнього, непередбачувані дії конкурентів військовий стан.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before="113" w:after="28"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Частина 7. Опис основних характеристик систем внутрішнього контролю особи, </w:t>
        <w:br w:type="textWrapping"/>
        <w:t xml:space="preserve">а також перелік структурних підрозділів особи, які здійснюють ключові обов’язки </w:t>
        <w:br w:type="textWrapping"/>
        <w:t>щодо забезпечення роботи систем внутрішнього контролю</w:t>
      </w:r>
      <w:r>
        <w:rPr>
          <w:rFonts w:ascii="Times New Roman" w:hAnsi="Times New Roman" w:eastAsia="Times New Roman"/>
          <w:b/>
          <w:bCs/>
          <w:color w:val="000000"/>
          <w:sz w:val="24"/>
          <w:szCs w:val="24"/>
          <w:lang w:val="uk-ua" w:eastAsia="uk-ua"/>
        </w:rPr>
      </w:r>
    </w:p>
    <w:tbl>
      <w:tblPr>
        <w:tblStyle w:val="NormalTable"/>
        <w:name w:val="Таблица37"/>
        <w:tabOrder w:val="0"/>
        <w:jc w:val="left"/>
        <w:tblInd w:w="0" w:type="dxa"/>
        <w:tblW w:w="9922" w:type="dxa"/>
        <w:tblLook w:val="0000" w:firstRow="0" w:lastRow="0" w:firstColumn="0" w:lastColumn="0" w:noHBand="0" w:noVBand="0"/>
      </w:tblPr>
      <w:tblGrid>
        <w:gridCol w:w="4892"/>
        <w:gridCol w:w="5030"/>
      </w:tblGrid>
      <w:tr>
        <w:trPr>
          <w:cantSplit w:val="0"/>
          <w:trHeight w:val="60" w:hRule="atLeast"/>
        </w:trPr>
        <w:tc>
          <w:tcPr>
            <w:tcW w:w="246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w:t>
            </w:r>
          </w:p>
        </w:tc>
        <w:tc>
          <w:tcPr>
            <w:tcW w:w="25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Система внутрішнього контролю передбачає модель трьох ліній захисту     Так/Ні</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Опис функцій підрозділів першої лінії захисту та перелік ключових підрозділів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підрозділів та опис функцій підрозділів другої лінії захисту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підрозділів та опис функцій підрозділів третьої лінії захисту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Наявність затвердженого документу (документів), який(які) визначає(ють) політику системи внутрішнього контролю (у тому числі </w:t>
              <w:br w:type="textWrapping"/>
              <w:t>щодо системи комплаєнс та внутрішнього аудиту)</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основних внутрішніх документів </w:t>
              <w:br w:type="textWrapping"/>
              <w:t xml:space="preserve">щодо системи внутрішнього контролю (у тому числі щодо системи комплаєнс та внутрішнього аудиту)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Дата та номер рішення про затвердження звіту </w:t>
              <w:br w:type="textWrapping"/>
              <w:t>щодо системи внутрішнього контролю (у тому числі комплаєнс-ризиків)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 xml:space="preserve">.  .    </w:t>
            </w:r>
          </w:p>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Основні положення звіту системи внутрішнього контролю (у тому числі комплаєнс-ризиків)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Наявність затвердженої декларації схильності до ризиків     Так/Ні</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Опис основних положень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який прийняв рішення про затвердження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Дата та номер рішення про затвердження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 xml:space="preserve">.  .    </w:t>
            </w:r>
          </w:p>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bl>
    <w:p>
      <w:pPr>
        <w:rPr>
          <w:rFonts w:eastAsia="Times New Roman"/>
          <w:lang w:val="uk-ua" w:eastAsia="uk-ua"/>
        </w:rPr>
      </w:pPr>
      <w:r>
        <w:rPr>
          <w:rFonts w:eastAsia="Times New Roman"/>
          <w:lang w:val="uk-ua" w:eastAsia="uk-ua"/>
        </w:rPr>
      </w:r>
    </w:p>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0"/>
          <w:footerReference w:type="default" r:id="rId31"/>
          <w:type w:val="nextPage"/>
          <w:pgSz w:h="16838" w:w="11906"/>
          <w:pgMar w:left="1417" w:top="363" w:right="567" w:bottom="363"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8. Інформація щодо осіб, які прямо або опосередковано є власниками значного пакета акцій особи</w:t>
      </w:r>
    </w:p>
    <w:tbl>
      <w:tblPr>
        <w:tblStyle w:val="NormalTable"/>
        <w:name w:val="Таблица38"/>
        <w:tabOrder w:val="0"/>
        <w:jc w:val="left"/>
        <w:tblInd w:w="0" w:type="dxa"/>
        <w:tblW w:w="16111" w:type="dxa"/>
        <w:tblLook w:val="0000" w:firstRow="0" w:lastRow="0" w:firstColumn="0" w:lastColumn="0" w:noHBand="0" w:noVBand="0"/>
      </w:tblPr>
      <w:tblGrid>
        <w:gridCol w:w="4511"/>
        <w:gridCol w:w="1788"/>
        <w:gridCol w:w="1772"/>
        <w:gridCol w:w="3206"/>
        <w:gridCol w:w="4834"/>
      </w:tblGrid>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 xml:space="preserve">Ім’я або повне найменування акціонера </w:t>
            </w:r>
            <w:r>
              <w:rPr>
                <w:rFonts w:ascii="Times New Roman" w:hAnsi="Times New Roman" w:eastAsia="Times New Roman"/>
                <w:b/>
                <w:color w:val="000000"/>
                <w:sz w:val="20"/>
                <w:szCs w:val="20"/>
                <w:lang w:val="uk-ua" w:eastAsia="uk-ua"/>
              </w:rPr>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РНОКПП</w:t>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значного пакета акцій</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пакета акцій, що знаходиться в прямому та (опосередкованому) володінні</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Шалободіна Оксана Олександрівна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1908364</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1908364</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Чоботок Яна Володимирівна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3840747</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3840747</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з обмеженою відповідальністю "Альтана Асістанс"</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3600168</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3600168</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з обмеженою відповідальністю "Гортехносервіс"</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3877468</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3877468</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Пугач Юлія Олександрівна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2054250</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2054250</w:t>
            </w:r>
          </w:p>
        </w:tc>
      </w:tr>
    </w:tbl>
    <w:p>
      <w:pPr>
        <w:rPr>
          <w:rFonts w:eastAsia="Times New Roman"/>
          <w:lang w:val="uk-ua" w:eastAsia="uk-ua"/>
        </w:rPr>
      </w:pPr>
      <w:r>
        <w:rPr>
          <w:rFonts w:eastAsia="Times New Roman"/>
          <w:lang w:val="uk-ua" w:eastAsia="uk-ua"/>
        </w:rPr>
      </w: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9. Інформація щодо будь-яких обмежень прав участі та голосування акціонерів (учасників) на загальних зборах особи</w:t>
      </w:r>
    </w:p>
    <w:tbl>
      <w:tblPr>
        <w:tblStyle w:val="NormalTable"/>
        <w:name w:val="Таблица39"/>
        <w:tabOrder w:val="0"/>
        <w:jc w:val="left"/>
        <w:tblInd w:w="0" w:type="dxa"/>
        <w:tblW w:w="16129" w:type="dxa"/>
        <w:tblLook w:val="0000" w:firstRow="0" w:lastRow="0" w:firstColumn="0" w:lastColumn="0" w:noHBand="0" w:noVBand="0"/>
      </w:tblPr>
      <w:tblGrid>
        <w:gridCol w:w="7025"/>
        <w:gridCol w:w="1289"/>
        <w:gridCol w:w="1531"/>
        <w:gridCol w:w="6284"/>
      </w:tblGrid>
      <w:tr>
        <w:trPr>
          <w:cantSplit w:val="0"/>
          <w:trHeight w:val="60" w:hRule="atLeast"/>
        </w:trPr>
        <w:tc>
          <w:tcPr>
            <w:tcW w:w="21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eastAsia="uk-ua"/>
              </w:rPr>
              <w:t xml:space="preserve">                                               </w:t>
            </w:r>
            <w:r>
              <w:rPr>
                <w:rFonts w:ascii="Times New Roman" w:hAnsi="Times New Roman" w:eastAsia="Times New Roman"/>
                <w:b/>
                <w:color w:val="000000"/>
                <w:sz w:val="20"/>
                <w:szCs w:val="24"/>
                <w:lang w:val="uk-ua" w:eastAsia="uk-ua"/>
              </w:rPr>
              <w:t xml:space="preserve">Ім’я або повне найменування </w:t>
            </w:r>
            <w:r>
              <w:rPr>
                <w:rFonts w:ascii="Times New Roman" w:hAnsi="Times New Roman" w:eastAsia="Times New Roman"/>
                <w:b/>
                <w:color w:val="000000"/>
                <w:sz w:val="20"/>
                <w:szCs w:val="24"/>
                <w:lang w:val="uk-ua" w:eastAsia="uk-ua"/>
              </w:rPr>
              <w:br w:type="textWrapping"/>
            </w:r>
            <w:r>
              <w:rPr>
                <w:rFonts w:ascii="Times New Roman" w:hAnsi="Times New Roman" w:eastAsia="Times New Roman"/>
                <w:b/>
                <w:color w:val="000000"/>
                <w:sz w:val="20"/>
                <w:szCs w:val="24"/>
                <w:lang w:eastAsia="uk-ua"/>
              </w:rPr>
              <w:t xml:space="preserve">      </w:t>
            </w:r>
            <w:r>
              <w:rPr>
                <w:rFonts w:ascii="Times New Roman" w:hAnsi="Times New Roman" w:eastAsia="Times New Roman"/>
                <w:b/>
                <w:color w:val="000000"/>
                <w:sz w:val="20"/>
                <w:szCs w:val="24"/>
                <w:lang w:val="uk-ua" w:eastAsia="uk-ua"/>
              </w:rPr>
              <w:t>акціонера (учасника) права участі та/або голосування якого обмежено</w:t>
            </w:r>
            <w:r>
              <w:rPr>
                <w:rFonts w:ascii="Times New Roman" w:hAnsi="Times New Roman" w:eastAsia="Times New Roman"/>
                <w:b/>
                <w:color w:val="000000"/>
                <w:sz w:val="20"/>
                <w:szCs w:val="24"/>
                <w:lang w:val="uk-ua" w:eastAsia="uk-ua"/>
              </w:rPr>
            </w:r>
          </w:p>
        </w:tc>
        <w:tc>
          <w:tcPr>
            <w:tcW w:w="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РНОКПП</w:t>
            </w:r>
          </w:p>
        </w:tc>
        <w:tc>
          <w:tcPr>
            <w:tcW w:w="4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УНЗР</w:t>
            </w:r>
          </w:p>
        </w:tc>
        <w:tc>
          <w:tcPr>
            <w:tcW w:w="19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Опис наявного обмеження</w:t>
            </w:r>
          </w:p>
        </w:tc>
      </w:tr>
      <w:tr>
        <w:trPr>
          <w:cantSplit w:val="0"/>
          <w:trHeight w:val="60" w:hRule="atLeast"/>
        </w:trPr>
        <w:tc>
          <w:tcPr>
            <w:tcW w:w="21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r>
          </w:p>
        </w:tc>
        <w:tc>
          <w:tcPr>
            <w:tcW w:w="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4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19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 xml:space="preserve">Товариство не встановлювало в статутi або внутрiшнiх документах будь-якi обмеження щодо вiльного розпорядження належними акцiонеру акцiями, в тому числi, будь-якi обмеження прав участi та голосування акцiонерiв на загальних зборах.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 xml:space="preserve">Вiдповiдно до п.10 роздiлу VI Прикiнцевi та перехiднi положення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визначеннi кворуму та при голосуваннi в органах емiтента. Отже, депозитарною установою в системi депозитарного облiку наразi встановленi обмеження щодо врахування цiнних паперiв при визначеннi кворуму та при голосуванні в органах емiтента.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Згiдно реєстру акцiонерiв кiлькiсть неголосуючих акцiй становить – 528330 шт. (в 2022 р)</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r/>
    </w:p>
    <w:p>
      <w:pPr>
        <w:sectPr>
          <w:footnotePr>
            <w:pos w:val="pageBottom"/>
            <w:numFmt w:val="decimal"/>
            <w:numStart w:val="1"/>
            <w:numRestart w:val="continuous"/>
          </w:footnotePr>
          <w:endnotePr>
            <w:pos w:val="docEnd"/>
            <w:numFmt w:val="lowerRoman"/>
            <w:numStart w:val="1"/>
            <w:numRestart w:val="continuous"/>
          </w:endnotePr>
          <w:headerReference w:type="default" r:id="rId32"/>
          <w:footerReference w:type="default" r:id="rId33"/>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0"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11. Інформація про винагороду членів виконавчого органу та/або ради особи</w:t>
      </w:r>
    </w:p>
    <w:p>
      <w:pPr>
        <w:spacing w:after="0"/>
        <w:rPr>
          <w:rFonts w:ascii="Times New Roman" w:hAnsi="Times New Roman"/>
          <w:sz w:val="20"/>
          <w:szCs w:val="20"/>
          <w:lang w:val="uk-ua"/>
        </w:rPr>
      </w:pPr>
      <w:r>
        <w:rPr>
          <w:rFonts w:ascii="Times New Roman" w:hAnsi="Times New Roman"/>
          <w:sz w:val="20"/>
          <w:szCs w:val="20"/>
          <w:lang w:val="uk-ua"/>
        </w:rPr>
      </w:r>
    </w:p>
    <w:tbl>
      <w:tblPr>
        <w:tblStyle w:val="1"/>
        <w:name w:val="Таблица40"/>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39" protected="0"/>
          </w:tcPr>
          <w:p>
            <w:pPr>
              <w:rPr>
                <w:rFonts w:ascii="Times New Roman" w:hAnsi="Times New Roman"/>
                <w:lang w:val="uk-ua"/>
              </w:rPr>
            </w:pPr>
            <w:r>
              <w:rPr>
                <w:rFonts w:ascii="Times New Roman" w:hAnsi="Times New Roman"/>
                <w:lang w:val="uk-ua"/>
              </w:rPr>
              <w:t>Лобов Сергій  Вікторович</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Голова Наглядової ради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11.04.2017</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39"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tbl>
      <w:tblPr>
        <w:tblStyle w:val="1"/>
        <w:name w:val="Таблица41"/>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39" protected="0"/>
          </w:tcPr>
          <w:p>
            <w:pPr>
              <w:rPr>
                <w:rFonts w:ascii="Times New Roman" w:hAnsi="Times New Roman"/>
                <w:lang w:val="uk-ua"/>
              </w:rPr>
            </w:pPr>
            <w:r>
              <w:rPr>
                <w:rFonts w:ascii="Times New Roman" w:hAnsi="Times New Roman"/>
                <w:lang w:val="uk-ua"/>
              </w:rPr>
              <w:t>Іванов Олексій Миколайович</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Член Наглядової ради.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11.04.2017</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39"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tbl>
      <w:tblPr>
        <w:tblStyle w:val="1"/>
        <w:name w:val="Таблица42"/>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39" protected="0"/>
          </w:tcPr>
          <w:p>
            <w:pPr>
              <w:rPr>
                <w:rFonts w:ascii="Times New Roman" w:hAnsi="Times New Roman"/>
                <w:lang w:val="uk-ua"/>
              </w:rPr>
            </w:pPr>
            <w:r>
              <w:rPr>
                <w:rFonts w:ascii="Times New Roman" w:hAnsi="Times New Roman"/>
                <w:lang w:val="uk-ua"/>
              </w:rPr>
              <w:t>Усенко Антон Юрійович</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Член Наглядової ради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39" protected="0"/>
          </w:tcPr>
          <w:p>
            <w:pPr>
              <w:spacing/>
              <w:jc w:val="center"/>
              <w:rPr>
                <w:rFonts w:ascii="Times New Roman" w:hAnsi="Times New Roman"/>
                <w:lang w:val="uk-ua"/>
              </w:rPr>
            </w:pPr>
            <w:r>
              <w:rPr>
                <w:rFonts w:ascii="Times New Roman" w:hAnsi="Times New Roman"/>
                <w:lang w:val="uk-ua"/>
              </w:rPr>
              <w:t>11.04.2017</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39"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39"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39"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39"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p>
      <w:pPr>
        <w:spacing w:after="0"/>
        <w:rPr>
          <w:rFonts w:ascii="Times New Roman" w:hAnsi="Times New Roman"/>
          <w:b/>
          <w:sz w:val="20"/>
          <w:szCs w:val="20"/>
          <w:lang w:val="uk-ua"/>
        </w:rPr>
      </w:pPr>
      <w:r>
        <w:rPr>
          <w:rFonts w:ascii="Times New Roman" w:hAnsi="Times New Roman"/>
          <w:b/>
          <w:sz w:val="20"/>
          <w:szCs w:val="20"/>
          <w:lang w:val="uk-ua"/>
        </w:rPr>
      </w: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12. Інформація про політику розкриття інформації особою</w:t>
      </w:r>
    </w:p>
    <w:tbl>
      <w:tblPr>
        <w:tblStyle w:val="NormalTable"/>
        <w:name w:val="Таблица43"/>
        <w:tabOrder w:val="0"/>
        <w:jc w:val="left"/>
        <w:tblInd w:w="0" w:type="dxa"/>
        <w:tblW w:w="9922" w:type="dxa"/>
        <w:tblLook w:val="0000" w:firstRow="0" w:lastRow="0" w:firstColumn="0" w:lastColumn="0" w:noHBand="0" w:noVBand="0"/>
      </w:tblPr>
      <w:tblGrid>
        <w:gridCol w:w="4167"/>
        <w:gridCol w:w="5755"/>
      </w:tblGrid>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Назва внутрішнього документа,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uk-ua"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тика щодо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окремого документа не затверджувалася, при розкритт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ї Товариство керується вимогами НКЦПФР, зокрема Положенням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в.</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Найменування органу, який прийняв рішення про затвердження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Національна комісія цінних паперів та фондового ринку</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та номер рішення про затвердження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06.06.2023</w:t>
            </w:r>
          </w:p>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608</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Опис ключових положень внутрішнього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тика щодо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яка сприяла б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Товариством та її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окремого документа,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дсутня.</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4"/>
          <w:footerReference w:type="default" r:id="rId35"/>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Calibri Light" w:hAnsi="Calibri Light" w:eastAsia="Times New Roman"/>
          <w:bCs/>
          <w:kern w:val="0"/>
          <w:sz w:val="26"/>
          <w:szCs w:val="26"/>
          <w:lang w:val="uk-ua" w:eastAsia="uk-ua"/>
        </w:rPr>
      </w:pPr>
      <w:r/>
      <w:bookmarkStart w:id="16" w:name="_Toc210041598"/>
      <w:r/>
      <w:r>
        <w:rPr>
          <w:rFonts w:ascii="Times New Roman" w:hAnsi="Times New Roman" w:eastAsia="Times New Roman"/>
          <w:b/>
          <w:bCs/>
          <w:kern w:val="0"/>
          <w:sz w:val="26"/>
          <w:szCs w:val="26"/>
          <w:lang w:val="uk-ua" w:eastAsia="uk-ua"/>
        </w:rPr>
        <w:t>3) інформація щодо наявності у емітента відносин з іноземними державами зони ризику</w:t>
      </w:r>
      <w:r/>
      <w:bookmarkEnd w:id="16"/>
      <w:r/>
      <w:r>
        <w:rPr>
          <w:rFonts w:ascii="Calibri Light" w:hAnsi="Calibri Light" w:eastAsia="Times New Roman"/>
          <w:bCs/>
          <w:kern w:val="0"/>
          <w:sz w:val="26"/>
          <w:szCs w:val="26"/>
          <w:lang w:val="uk-ua" w:eastAsia="uk-ua"/>
        </w:rPr>
      </w:r>
    </w:p>
    <w:p>
      <w:pP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щодо наявності в структурі власності емітента фізичних осіб, які мають громадянство іноземної держави зони ризику</w:t>
      </w:r>
    </w:p>
    <w:tbl>
      <w:tblPr>
        <w:tblStyle w:val="NormalTable"/>
        <w:name w:val="Таблица44"/>
        <w:tabOrder w:val="0"/>
        <w:jc w:val="left"/>
        <w:tblInd w:w="0" w:type="dxa"/>
        <w:tblW w:w="16113" w:type="dxa"/>
        <w:tblLook w:val="0000" w:firstRow="0" w:lastRow="0" w:firstColumn="0" w:lastColumn="0" w:noHBand="0" w:noVBand="0"/>
      </w:tblPr>
      <w:tblGrid>
        <w:gridCol w:w="4850"/>
        <w:gridCol w:w="1966"/>
        <w:gridCol w:w="3239"/>
        <w:gridCol w:w="2256"/>
        <w:gridCol w:w="3802"/>
      </w:tblGrid>
      <w:tr>
        <w:trPr>
          <w:cantSplit w:val="0"/>
          <w:trHeight w:val="60"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Ім’я</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Громадянство</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Країна та населений пункт місця проживання</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товариства, що прямо чи опосередковано належать особі</w:t>
            </w:r>
          </w:p>
        </w:tc>
        <w:tc>
          <w:tcPr>
            <w:tcW w:w="1180" w:type="pct"/>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Опис наявних у особи відносин контролю над емітентом</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3</w:t>
            </w:r>
            <w:r>
              <w:rPr>
                <w:rFonts w:ascii="Times New Roman" w:hAnsi="Times New Roman" w:eastAsia="Times New Roman"/>
                <w:b/>
                <w:color w:val="000000"/>
                <w:sz w:val="20"/>
                <w:szCs w:val="20"/>
                <w:lang w:val="uk-ua" w:eastAsia="uk-ua"/>
              </w:rPr>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eastAsia="uk-ua"/>
              </w:rPr>
            </w:pPr>
            <w:r>
              <w:rPr>
                <w:rFonts w:ascii="Times New Roman" w:hAnsi="Times New Roman" w:eastAsia="Times New Roman"/>
                <w:b/>
                <w:color w:val="000000"/>
                <w:sz w:val="20"/>
                <w:szCs w:val="20"/>
                <w:lang w:eastAsia="uk-ua"/>
              </w:rPr>
              <w:t xml:space="preserve">                                    5</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Нюман Тамара Георгіївна</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Росія</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Росія. м. Санкт-Петербург</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6233</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rPr>
          <w:rFonts w:eastAsia="Times New Roman"/>
          <w:lang w:val="uk-ua" w:eastAsia="uk-ua"/>
        </w:rPr>
      </w:pPr>
      <w:r>
        <w:rPr>
          <w:rFonts w:eastAsia="Times New Roman"/>
          <w:lang w:val="uk-ua" w:eastAsia="uk-ua"/>
        </w:rPr>
      </w:r>
    </w:p>
    <w:p>
      <w:pP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Style w:val="NormalTable"/>
        <w:name w:val="Таблица45"/>
        <w:tabOrder w:val="0"/>
        <w:jc w:val="left"/>
        <w:tblInd w:w="0" w:type="dxa"/>
        <w:tblW w:w="16113" w:type="dxa"/>
        <w:tblLook w:val="0000" w:firstRow="0" w:lastRow="0" w:firstColumn="0" w:lastColumn="0" w:noHBand="0" w:noVBand="0"/>
      </w:tblPr>
      <w:tblGrid>
        <w:gridCol w:w="4850"/>
        <w:gridCol w:w="1966"/>
        <w:gridCol w:w="3239"/>
        <w:gridCol w:w="2256"/>
        <w:gridCol w:w="3802"/>
      </w:tblGrid>
      <w:tr>
        <w:trPr>
          <w:cantSplit w:val="0"/>
          <w:trHeight w:val="60"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Ім’я</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Громадянство</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Країна та населений пункт місця проживання</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товариства, що прямо чи опосередковано належать особі</w:t>
            </w:r>
          </w:p>
        </w:tc>
        <w:tc>
          <w:tcPr>
            <w:tcW w:w="1180" w:type="pct"/>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Опис наявних у особи відносин контролю над емітентом</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3</w:t>
            </w:r>
            <w:r>
              <w:rPr>
                <w:rFonts w:ascii="Times New Roman" w:hAnsi="Times New Roman" w:eastAsia="Times New Roman"/>
                <w:b/>
                <w:color w:val="000000"/>
                <w:sz w:val="20"/>
                <w:szCs w:val="20"/>
                <w:lang w:val="uk-ua" w:eastAsia="uk-ua"/>
              </w:rPr>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eastAsia="uk-ua"/>
              </w:rPr>
            </w:pPr>
            <w:r>
              <w:rPr>
                <w:rFonts w:ascii="Times New Roman" w:hAnsi="Times New Roman" w:eastAsia="Times New Roman"/>
                <w:b/>
                <w:color w:val="000000"/>
                <w:sz w:val="20"/>
                <w:szCs w:val="20"/>
                <w:lang w:eastAsia="uk-ua"/>
              </w:rPr>
              <w:t xml:space="preserve">                                   5</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Нюман Тамара Георгіївна</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Росія</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Росія. м. Санкт-Петербург</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6233</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pPr>
        <w:rPr>
          <w:rFonts w:eastAsia="Times New Roman"/>
          <w:lang w:val="uk-ua" w:eastAsia="uk-ua"/>
        </w:rPr>
      </w:pPr>
      <w:r>
        <w:rPr>
          <w:rFonts w:eastAsia="Times New Roman"/>
          <w:lang w:val="uk-ua" w:eastAsia="uk-ua"/>
        </w:rPr>
      </w:r>
    </w:p>
    <w:p>
      <w:pPr>
        <w:spacing w:after="0"/>
        <w:keepNext/>
        <w:outlineLvl w:val="0"/>
        <w:rPr>
          <w:rFonts w:ascii="Times New Roman" w:hAnsi="Times New Roman" w:eastAsia="Times New Roman"/>
          <w:b/>
          <w:bCs/>
          <w:kern w:val="0"/>
          <w:sz w:val="26"/>
          <w:szCs w:val="26"/>
          <w:lang w:val="uk-ua" w:eastAsia="uk-ua"/>
        </w:rPr>
      </w:pPr>
      <w:r/>
      <w:bookmarkStart w:id="17" w:name="_Toc210041599"/>
      <w:r/>
      <w:r>
        <w:rPr>
          <w:rFonts w:ascii="Times New Roman" w:hAnsi="Times New Roman" w:eastAsia="Times New Roman"/>
          <w:b/>
          <w:bCs/>
          <w:kern w:val="0"/>
          <w:sz w:val="26"/>
          <w:szCs w:val="26"/>
          <w:lang w:val="uk-ua" w:eastAsia="uk-ua"/>
        </w:rPr>
        <w:t>5. Перелік посилань на внутрішні документи особи, що розміщені на вебсайті особи</w:t>
      </w:r>
      <w:r/>
      <w:bookmarkEnd w:id="17"/>
      <w:r/>
      <w:r>
        <w:rPr>
          <w:rFonts w:ascii="Times New Roman" w:hAnsi="Times New Roman" w:eastAsia="Times New Roman"/>
          <w:b/>
          <w:bCs/>
          <w:kern w:val="0"/>
          <w:sz w:val="26"/>
          <w:szCs w:val="26"/>
          <w:lang w:val="uk-ua" w:eastAsia="uk-ua"/>
        </w:rPr>
      </w:r>
    </w:p>
    <w:tbl>
      <w:tblPr>
        <w:tblStyle w:val="NormalTable"/>
        <w:name w:val="Таблица46"/>
        <w:tabOrder w:val="0"/>
        <w:jc w:val="left"/>
        <w:tblInd w:w="0" w:type="dxa"/>
        <w:tblW w:w="16095" w:type="dxa"/>
        <w:tblLook w:val="0000" w:firstRow="0" w:lastRow="0" w:firstColumn="0" w:lastColumn="0" w:noHBand="0" w:noVBand="0"/>
      </w:tblPr>
      <w:tblGrid>
        <w:gridCol w:w="693"/>
        <w:gridCol w:w="5220"/>
        <w:gridCol w:w="5091"/>
        <w:gridCol w:w="5091"/>
      </w:tblGrid>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Назва внутрішнього документа </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Опис ключових питань, які регулюються </w:t>
              <w:br w:type="textWrapping"/>
              <w:t>внутрішнім документом</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URL-адреса вебсайту особи, за якою розміщено </w:t>
              <w:br w:type="textWrapping"/>
              <w:t>внутрішній документ</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3</w:t>
            </w:r>
            <w:r>
              <w:rPr>
                <w:rFonts w:ascii="Times New Roman" w:hAnsi="Times New Roman" w:eastAsia="Times New Roman"/>
                <w:b/>
                <w:color w:val="000000"/>
                <w:sz w:val="20"/>
                <w:szCs w:val="24"/>
                <w:lang w:val="uk-ua"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1</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Інформація про підприємство</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2</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Установчі документи</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3</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ВИПИСКА З РЕЄСТРУ КОДІВ ЦІННИХ ПАПЕРІВ ПРАТ "МАКІЇВСЬКИЙ ЗАВОД "ФАКЕЛ"</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val="en-us" w:eastAsia="uk-ua"/>
              </w:rPr>
              <w:t>https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fakel</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pat</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ua</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emitents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reports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year</w:t>
            </w:r>
            <w:r>
              <w:rPr>
                <w:rFonts w:ascii="Times New Roman" w:hAnsi="Times New Roman" w:eastAsia="Times New Roman"/>
                <w:color w:val="000000"/>
                <w:sz w:val="20"/>
                <w:szCs w:val="24"/>
                <w:lang w:eastAsia="uk-ua"/>
              </w:rPr>
              <w:t>/2020</w:t>
            </w:r>
            <w:r>
              <w:rPr>
                <w:rFonts w:ascii="Times New Roman" w:hAnsi="Times New Roman" w:eastAsia="Times New Roman"/>
                <w:color w:val="000000"/>
                <w:sz w:val="20"/>
                <w:szCs w:val="24"/>
                <w:lang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4</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Положення</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начислення та сплату дивідентдів"</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загальні збори ПРАТ Макіївський завод "ФАКЕЛ"</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наглядову раду</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корпоративного секретаря</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ревізора</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Кодекс корпоративного управління ПРАТ "МАКІЇВСЬКИЙ ЗАВОД "ФАКЕЛ"</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val="en-us" w:eastAsia="uk-ua"/>
              </w:rPr>
              <w:t>https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fakel</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pat</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ua</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emitents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reports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year</w:t>
            </w:r>
            <w:r>
              <w:rPr>
                <w:rFonts w:ascii="Times New Roman" w:hAnsi="Times New Roman" w:eastAsia="Times New Roman"/>
                <w:color w:val="000000"/>
                <w:sz w:val="20"/>
                <w:szCs w:val="24"/>
                <w:lang w:eastAsia="uk-ua"/>
              </w:rPr>
              <w:t>/2020</w:t>
            </w:r>
            <w:r>
              <w:rPr>
                <w:rFonts w:ascii="Times New Roman" w:hAnsi="Times New Roman" w:eastAsia="Times New Roman"/>
                <w:color w:val="000000"/>
                <w:sz w:val="20"/>
                <w:szCs w:val="24"/>
                <w:lang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5</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Протоколи зборів</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6</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Результати перевірок</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7</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Повідомлення про збори</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rPr>
          <w:rFonts w:eastAsia="Times New Roman"/>
          <w:lang w:val="uk-ua" w:eastAsia="uk-ua"/>
        </w:rPr>
      </w:pPr>
      <w:r>
        <w:rPr>
          <w:rFonts w:eastAsia="Times New Roman"/>
          <w:lang w:val="uk-ua" w:eastAsia="uk-ua"/>
        </w:rPr>
      </w:r>
    </w:p>
    <w:p>
      <w:pPr>
        <w:spacing w:after="60"/>
        <w:jc w:val="center"/>
        <w:keepNext/>
        <w:outlineLvl w:val="0"/>
        <w:rPr>
          <w:rFonts w:ascii="Times New Roman" w:hAnsi="Times New Roman" w:eastAsia="Times New Roman"/>
          <w:b/>
          <w:bCs/>
          <w:kern w:val="0"/>
          <w:sz w:val="28"/>
          <w:szCs w:val="28"/>
          <w:lang w:val="uk-ua" w:eastAsia="uk-ua"/>
        </w:rPr>
      </w:pPr>
      <w:r/>
      <w:bookmarkStart w:id="18" w:name="_Toc210041600"/>
      <w:r/>
      <w:r>
        <w:rPr>
          <w:rFonts w:ascii="Times New Roman" w:hAnsi="Times New Roman" w:eastAsia="Times New Roman"/>
          <w:b/>
          <w:bCs/>
          <w:kern w:val="0"/>
          <w:sz w:val="28"/>
          <w:szCs w:val="28"/>
          <w:lang w:val="uk-ua" w:eastAsia="uk-ua"/>
        </w:rPr>
        <w:t xml:space="preserve">VI. Список посилань на регульовану інформацію, </w:t>
      </w:r>
      <w:r>
        <w:rPr>
          <w:rFonts w:ascii="Times New Roman" w:hAnsi="Times New Roman" w:eastAsia="Times New Roman"/>
          <w:b/>
          <w:bCs/>
          <w:kern w:val="0"/>
          <w:sz w:val="28"/>
          <w:szCs w:val="28"/>
          <w:lang w:val="uk-ua" w:eastAsia="uk-ua"/>
        </w:rPr>
        <w:br w:type="textWrapping"/>
        <w:t>яка була розкрита протягом звітного року</w:t>
      </w:r>
      <w:r/>
      <w:bookmarkEnd w:id="18"/>
      <w:r/>
      <w:r>
        <w:rPr>
          <w:rFonts w:ascii="Times New Roman" w:hAnsi="Times New Roman" w:eastAsia="Times New Roman"/>
          <w:b/>
          <w:bCs/>
          <w:kern w:val="0"/>
          <w:sz w:val="28"/>
          <w:szCs w:val="28"/>
          <w:lang w:val="uk-ua" w:eastAsia="uk-ua"/>
        </w:rPr>
      </w:r>
    </w:p>
    <w:p>
      <w:pPr>
        <w:spacing w:after="60"/>
        <w:keepNext/>
        <w:outlineLvl w:val="0"/>
        <w:rPr>
          <w:rFonts w:ascii="Times New Roman" w:hAnsi="Times New Roman" w:eastAsia="Times New Roman"/>
          <w:b/>
          <w:bCs/>
          <w:kern w:val="0"/>
          <w:sz w:val="26"/>
          <w:szCs w:val="26"/>
          <w:lang w:val="uk-ua" w:eastAsia="uk-ua"/>
        </w:rPr>
      </w:pPr>
      <w:r/>
      <w:bookmarkStart w:id="19" w:name="_Toc210041601"/>
      <w:r/>
      <w:r>
        <w:rPr>
          <w:rFonts w:ascii="Times New Roman" w:hAnsi="Times New Roman" w:eastAsia="Times New Roman"/>
          <w:b/>
          <w:bCs/>
          <w:kern w:val="0"/>
          <w:sz w:val="26"/>
          <w:szCs w:val="26"/>
          <w:lang w:val="uk-ua" w:eastAsia="uk-ua"/>
        </w:rPr>
        <w:t>1. Проміжна інформація</w:t>
      </w:r>
      <w:r/>
      <w:bookmarkEnd w:id="19"/>
      <w:r/>
      <w:r>
        <w:rPr>
          <w:rFonts w:ascii="Times New Roman" w:hAnsi="Times New Roman" w:eastAsia="Times New Roman"/>
          <w:b/>
          <w:bCs/>
          <w:kern w:val="0"/>
          <w:sz w:val="26"/>
          <w:szCs w:val="26"/>
          <w:lang w:val="uk-ua" w:eastAsia="uk-ua"/>
        </w:rPr>
      </w:r>
    </w:p>
    <w:p>
      <w:pPr>
        <w:ind w:firstLine="283"/>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 xml:space="preserve"> </w:t>
      </w:r>
    </w:p>
    <w:p>
      <w:pPr>
        <w:spacing w:after="0"/>
        <w:keepNext/>
        <w:outlineLvl w:val="0"/>
        <w:rPr>
          <w:rFonts w:ascii="Times New Roman" w:hAnsi="Times New Roman" w:eastAsia="Times New Roman"/>
          <w:b/>
          <w:bCs/>
          <w:kern w:val="0"/>
          <w:sz w:val="26"/>
          <w:szCs w:val="26"/>
          <w:lang w:val="uk-ua" w:eastAsia="uk-ua"/>
        </w:rPr>
      </w:pPr>
      <w:r/>
      <w:bookmarkStart w:id="20" w:name="_Toc210041602"/>
      <w:r/>
      <w:r>
        <w:rPr>
          <w:rFonts w:ascii="Times New Roman" w:hAnsi="Times New Roman" w:eastAsia="Times New Roman"/>
          <w:b/>
          <w:bCs/>
          <w:kern w:val="0"/>
          <w:sz w:val="26"/>
          <w:szCs w:val="26"/>
          <w:lang w:val="uk-ua" w:eastAsia="uk-ua"/>
        </w:rPr>
        <w:t>2. Особлива інформація</w:t>
      </w:r>
      <w:r/>
      <w:bookmarkEnd w:id="20"/>
      <w:r/>
      <w:r>
        <w:rPr>
          <w:rFonts w:ascii="Times New Roman" w:hAnsi="Times New Roman" w:eastAsia="Times New Roman"/>
          <w:b/>
          <w:bCs/>
          <w:kern w:val="0"/>
          <w:sz w:val="26"/>
          <w:szCs w:val="26"/>
          <w:lang w:val="uk-ua" w:eastAsia="uk-ua"/>
        </w:rPr>
      </w:r>
    </w:p>
    <w:tbl>
      <w:tblPr>
        <w:tblStyle w:val="NormalTable"/>
        <w:name w:val="Таблица47"/>
        <w:tabOrder w:val="0"/>
        <w:jc w:val="left"/>
        <w:tblInd w:w="0" w:type="dxa"/>
        <w:tblW w:w="16113" w:type="dxa"/>
        <w:tblLook w:val="0000" w:firstRow="0" w:lastRow="0" w:firstColumn="0" w:lastColumn="0" w:noHBand="0" w:noVBand="0"/>
      </w:tblPr>
      <w:tblGrid>
        <w:gridCol w:w="838"/>
        <w:gridCol w:w="5575"/>
        <w:gridCol w:w="2965"/>
        <w:gridCol w:w="6735"/>
      </w:tblGrid>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Вид особливої інформації</w:t>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розкриття інформації</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URL-адреси, за якими розміщена інформація, яка розкривалася протягом звітного року</w:t>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04.05.2023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spacing w:after="0"/>
        <w:keepNext/>
        <w:outlineLvl w:val="0"/>
        <w:rPr>
          <w:rFonts w:ascii="Times New Roman" w:hAnsi="Times New Roman" w:eastAsia="Times New Roman"/>
          <w:b/>
          <w:bCs/>
          <w:kern w:val="0"/>
          <w:sz w:val="26"/>
          <w:szCs w:val="26"/>
          <w:lang w:val="uk-ua" w:eastAsia="uk-ua"/>
        </w:rPr>
      </w:pPr>
      <w:r/>
      <w:bookmarkStart w:id="21" w:name="_Toc210041603"/>
      <w:r/>
      <w:r>
        <w:rPr>
          <w:rFonts w:ascii="Times New Roman" w:hAnsi="Times New Roman" w:eastAsia="Times New Roman"/>
          <w:b/>
          <w:bCs/>
          <w:kern w:val="0"/>
          <w:sz w:val="26"/>
          <w:szCs w:val="26"/>
          <w:lang w:val="uk-ua" w:eastAsia="uk-ua"/>
        </w:rPr>
        <w:t>3. Інша інформація</w:t>
      </w:r>
      <w:r/>
      <w:bookmarkEnd w:id="21"/>
      <w:r/>
      <w:r>
        <w:rPr>
          <w:rFonts w:ascii="Times New Roman" w:hAnsi="Times New Roman" w:eastAsia="Times New Roman"/>
          <w:b/>
          <w:bCs/>
          <w:kern w:val="0"/>
          <w:sz w:val="26"/>
          <w:szCs w:val="26"/>
          <w:lang w:val="uk-ua" w:eastAsia="uk-ua"/>
        </w:rPr>
      </w:r>
    </w:p>
    <w:tbl>
      <w:tblPr>
        <w:tblStyle w:val="NormalTable"/>
        <w:name w:val="Таблица48"/>
        <w:tabOrder w:val="0"/>
        <w:jc w:val="left"/>
        <w:tblInd w:w="0" w:type="dxa"/>
        <w:tblW w:w="16113" w:type="dxa"/>
        <w:tblLook w:val="0000" w:firstRow="0" w:lastRow="0" w:firstColumn="0" w:lastColumn="0" w:noHBand="0" w:noVBand="0"/>
      </w:tblPr>
      <w:tblGrid>
        <w:gridCol w:w="838"/>
        <w:gridCol w:w="5575"/>
        <w:gridCol w:w="2965"/>
        <w:gridCol w:w="6735"/>
      </w:tblGrid>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Вид іншої інформації</w:t>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розкриття інформації</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URL-адреси, за якими розміщена інформація, яка розкривалася протягом звітного року</w:t>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6"/>
          <w:footerReference w:type="default" r:id="rId37"/>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firstLine="567"/>
        <w:spacing w:after="0" w:line="240" w:lineRule="auto"/>
        <w:jc w:val="right"/>
        <w:widowControl w:val="0"/>
        <w:rPr>
          <w:rFonts w:ascii="Times New Roman" w:hAnsi="Times New Roman" w:eastAsia="Times New Roman"/>
          <w:b/>
          <w:lang w:val="en-us" w:eastAsia="ru-ru"/>
        </w:rPr>
      </w:pPr>
      <w:r>
        <w:rPr>
          <w:rFonts w:ascii="Times New Roman" w:hAnsi="Times New Roman" w:eastAsia="Times New Roman"/>
          <w:b/>
          <w:lang w:val="en-us" w:eastAsia="ru-ru"/>
        </w:rPr>
      </w:r>
    </w:p>
    <w:p>
      <w:pPr>
        <w:spacing w:after="0" w:line="240" w:lineRule="auto"/>
        <w:jc w:val="center"/>
        <w:widowControl w:val="0"/>
        <w:rPr>
          <w:rFonts w:ascii="Times New Roman" w:hAnsi="Times New Roman" w:eastAsia="Times New Roman"/>
          <w:b/>
          <w:bCs/>
          <w:color w:val="000000"/>
          <w:sz w:val="28"/>
          <w:szCs w:val="28"/>
          <w:lang w:val="uk-ua" w:eastAsia="ru-ru"/>
        </w:rPr>
      </w:pPr>
      <w:r>
        <w:rPr>
          <w:rFonts w:ascii="Times New Roman" w:hAnsi="Times New Roman" w:eastAsia="Times New Roman"/>
          <w:b/>
          <w:bCs/>
          <w:color w:val="000000"/>
          <w:sz w:val="28"/>
          <w:szCs w:val="28"/>
          <w:lang w:val="uk-ua" w:eastAsia="ru-ru"/>
        </w:rPr>
        <w:t xml:space="preserve">Фінансова звітність </w:t>
      </w:r>
    </w:p>
    <w:p>
      <w:pPr>
        <w:spacing w:after="0" w:line="240" w:lineRule="auto"/>
        <w:jc w:val="center"/>
        <w:widowControl w:val="0"/>
        <w:rPr>
          <w:rFonts w:ascii="Times New Roman" w:hAnsi="Times New Roman" w:eastAsia="Times New Roman"/>
          <w:b/>
          <w:bCs/>
          <w:sz w:val="28"/>
          <w:szCs w:val="28"/>
          <w:lang w:val="uk-ua" w:eastAsia="ru-ru"/>
        </w:rPr>
      </w:pPr>
      <w:r>
        <w:rPr>
          <w:rFonts w:ascii="Times New Roman" w:hAnsi="Times New Roman" w:eastAsia="Times New Roman"/>
          <w:b/>
          <w:bCs/>
          <w:sz w:val="28"/>
          <w:szCs w:val="28"/>
          <w:lang w:val="uk-ua" w:eastAsia="ru-ru"/>
        </w:rPr>
        <w:t>малого підприємства</w:t>
      </w:r>
    </w:p>
    <w:tbl>
      <w:tblPr>
        <w:tblStyle w:val="NormalTable"/>
        <w:name w:val="Таблица49"/>
        <w:tabOrder w:val="0"/>
        <w:jc w:val="left"/>
        <w:tblInd w:w="-34" w:type="dxa"/>
        <w:tblW w:w="9956" w:type="dxa"/>
        <w:tblLook w:val="00A0" w:firstRow="1" w:lastRow="0" w:firstColumn="1" w:lastColumn="0" w:noHBand="0" w:noVBand="0"/>
      </w:tblPr>
      <w:tblGrid>
        <w:gridCol w:w="6016"/>
        <w:gridCol w:w="1935"/>
        <w:gridCol w:w="668"/>
        <w:gridCol w:w="669"/>
        <w:gridCol w:w="668"/>
      </w:tblGrid>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mTcPr id="1759223739"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Коди</w:t>
            </w:r>
            <w:r>
              <w:rPr>
                <w:rFonts w:ascii="Times New Roman" w:hAnsi="Times New Roman" w:eastAsia="Times New Roman"/>
                <w:sz w:val="18"/>
                <w:szCs w:val="18"/>
                <w:lang w:eastAsia="ru-ru"/>
              </w:rPr>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mTcPr id="1759223739" protected="0"/>
          </w:tcPr>
          <w:p>
            <w:pPr>
              <w:spacing w:after="0" w:line="240" w:lineRule="auto"/>
              <w:jc w:val="center"/>
              <w:widowControl w:val="0"/>
              <w:rPr>
                <w:rFonts w:ascii="Times New Roman" w:hAnsi="Times New Roman" w:eastAsia="Times New Roman"/>
                <w:sz w:val="16"/>
                <w:szCs w:val="16"/>
                <w:lang w:eastAsia="ru-ru"/>
              </w:rPr>
            </w:pPr>
            <w:r>
              <w:rPr>
                <w:rFonts w:ascii="Times New Roman" w:hAnsi="Times New Roman" w:eastAsia="Times New Roman"/>
                <w:sz w:val="16"/>
                <w:szCs w:val="16"/>
                <w:lang w:val="uk-ua" w:eastAsia="ru-ru"/>
              </w:rPr>
              <w:t>Дата (рік, місяць,  число)</w:t>
            </w:r>
            <w:r>
              <w:rPr>
                <w:rFonts w:ascii="Times New Roman" w:hAnsi="Times New Roman" w:eastAsia="Times New Roman"/>
                <w:sz w:val="16"/>
                <w:szCs w:val="16"/>
                <w:lang w:eastAsia="ru-ru"/>
              </w:rPr>
            </w:r>
          </w:p>
        </w:tc>
        <w:tc>
          <w:tcPr>
            <w:tcW w:w="66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2023</w:t>
            </w:r>
          </w:p>
        </w:tc>
        <w:tc>
          <w:tcPr>
            <w:tcW w:w="669" w:type="dxa"/>
            <w:tcBorders>
              <w:top w:val="nil" w:sz="0" w:space="0" w:color="000000" tmln="20, 20, 20, 0, 0"/>
              <w:left w:val="single" w:sz="6" w:space="0" w:color="000000" tmln="15, 20, 20, 0, 0"/>
              <w:bottom w:val="nil" w:sz="0" w:space="0" w:color="000000" tmln="20, 20, 20, 0, 0"/>
              <w:right w:val="single" w:sz="6" w:space="0" w:color="000000" tmln="15, 20, 20, 0, 0"/>
            </w:tcBorders>
            <w:tmTcPr id="1759223739" protected="0"/>
          </w:tcPr>
          <w:p>
            <w:pPr>
              <w:spacing w:after="0" w:line="240" w:lineRule="auto"/>
              <w:widowControl w:val="0"/>
              <w:rPr>
                <w:rFonts w:ascii="Times New Roman" w:hAnsi="Times New Roman" w:eastAsia="Times New Roman"/>
                <w:bCs/>
                <w:sz w:val="18"/>
                <w:szCs w:val="18"/>
                <w:lang w:val="en-us" w:eastAsia="ru-ru"/>
              </w:rPr>
            </w:pPr>
            <w:r>
              <w:rPr>
                <w:rFonts w:ascii="Times New Roman" w:hAnsi="Times New Roman" w:eastAsia="Times New Roman"/>
                <w:bCs/>
                <w:sz w:val="18"/>
                <w:szCs w:val="18"/>
                <w:lang w:val="en-us" w:eastAsia="ru-ru"/>
              </w:rPr>
              <w:t>01</w:t>
            </w:r>
          </w:p>
        </w:tc>
        <w:tc>
          <w:tcPr>
            <w:tcW w:w="669" w:type="dxa"/>
            <w:tcBorders>
              <w:top w:val="nil" w:sz="0" w:space="0" w:color="000000" tmln="20, 20, 20, 0, 0"/>
              <w:left w:val="single" w:sz="6" w:space="0" w:color="000000" tmln="15, 20, 20, 0, 0"/>
              <w:bottom w:val="nil" w:sz="0" w:space="0" w:color="000000" tmln="20, 20, 20, 0, 0"/>
              <w:right w:val="single" w:sz="6" w:space="0" w:color="000000" tmln="15, 20, 20, 0, 0"/>
            </w:tcBorders>
            <w:tmTcPr id="1759223739" protected="0"/>
          </w:tcPr>
          <w:p>
            <w:pPr>
              <w:spacing w:after="0" w:line="240" w:lineRule="auto"/>
              <w:widowControl w:val="0"/>
              <w:rPr>
                <w:rFonts w:ascii="Times New Roman" w:hAnsi="Times New Roman" w:eastAsia="Times New Roman"/>
                <w:bCs/>
                <w:sz w:val="18"/>
                <w:szCs w:val="18"/>
                <w:lang w:val="en-us" w:eastAsia="ru-ru"/>
              </w:rPr>
            </w:pPr>
            <w:r>
              <w:rPr>
                <w:rFonts w:ascii="Times New Roman" w:hAnsi="Times New Roman" w:eastAsia="Times New Roman"/>
                <w:bCs/>
                <w:sz w:val="18"/>
                <w:szCs w:val="18"/>
                <w:lang w:val="en-us" w:eastAsia="ru-ru"/>
              </w:rPr>
              <w:t>01</w:t>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 xml:space="preserve">Підприємство  </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Приватне акціонерне товариство "Макіївський завод "ФАКЕЛ"</w:t>
            </w:r>
            <w:r>
              <w:rPr>
                <w:rFonts w:ascii="Times New Roman" w:hAnsi="Times New Roman" w:eastAsia="Times New Roman"/>
                <w:sz w:val="18"/>
                <w:szCs w:val="18"/>
                <w:lang w:eastAsia="ru-ru"/>
              </w:rPr>
            </w:r>
          </w:p>
        </w:tc>
        <w:tc>
          <w:tcPr>
            <w:tcW w:w="1935"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ЄДРПОУ</w:t>
            </w: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05781213</w:t>
            </w:r>
          </w:p>
        </w:tc>
      </w:tr>
      <w:tr>
        <w:trPr>
          <w:cantSplit w:val="0"/>
          <w:trHeight w:val="199" w:hRule="atLeast"/>
        </w:trPr>
        <w:tc>
          <w:tcPr>
            <w:tcW w:w="6016" w:type="dxa"/>
            <w:tmTcPr id="1759223739" protected="0"/>
          </w:tcPr>
          <w:p>
            <w:pPr>
              <w:spacing w:after="0" w:line="240" w:lineRule="auto"/>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uk-ua" w:eastAsia="ru-ru"/>
              </w:rPr>
              <w:t xml:space="preserve">Територія </w:t>
            </w:r>
            <w:r>
              <w:rPr>
                <w:rFonts w:ascii="Times New Roman" w:hAnsi="Times New Roman" w:eastAsia="Times New Roman"/>
                <w:sz w:val="18"/>
                <w:szCs w:val="18"/>
                <w:lang w:val="en-us" w:eastAsia="ru-ru"/>
              </w:rPr>
              <w:t xml:space="preserve"> </w:t>
            </w:r>
            <w:r>
              <w:rPr>
                <w:rFonts w:ascii="Times New Roman" w:hAnsi="Times New Roman" w:eastAsia="Times New Roman"/>
                <w:sz w:val="18"/>
                <w:szCs w:val="18"/>
                <w:u w:color="auto" w:val="single"/>
                <w:lang w:val="en-us" w:eastAsia="ru-ru"/>
              </w:rPr>
              <w:t>ПЕЧЕРСЬКИЙ</w:t>
            </w:r>
            <w:r>
              <w:rPr>
                <w:rFonts w:ascii="Times New Roman" w:hAnsi="Times New Roman" w:eastAsia="Times New Roman"/>
                <w:sz w:val="18"/>
                <w:szCs w:val="18"/>
                <w:lang w:val="en-us" w:eastAsia="ru-ru"/>
              </w:rPr>
            </w:r>
          </w:p>
        </w:tc>
        <w:tc>
          <w:tcPr>
            <w:tcW w:w="1935"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КАТОТТГ</w:t>
            </w: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UA80000000000624772</w:t>
            </w:r>
          </w:p>
        </w:tc>
      </w:tr>
      <w:tr>
        <w:trPr>
          <w:cantSplit w:val="0"/>
          <w:trHeight w:val="199" w:hRule="atLeast"/>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Організаційно-правова форма господарювання</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Приватне акц</w:t>
            </w:r>
            <w:r>
              <w:rPr>
                <w:rFonts w:ascii="Times New Roman" w:hAnsi="Times New Roman" w:eastAsia="Times New Roman"/>
                <w:sz w:val="18"/>
                <w:szCs w:val="18"/>
                <w:u w:color="auto" w:val="single"/>
                <w:lang w:val="en-us" w:eastAsia="ru-ru"/>
              </w:rPr>
              <w:t>i</w:t>
            </w:r>
            <w:r>
              <w:rPr>
                <w:rFonts w:ascii="Times New Roman" w:hAnsi="Times New Roman" w:eastAsia="Times New Roman"/>
                <w:sz w:val="18"/>
                <w:szCs w:val="18"/>
                <w:u w:color="auto" w:val="single"/>
                <w:lang w:eastAsia="ru-ru"/>
              </w:rPr>
              <w:t>онерне товариство</w:t>
            </w:r>
            <w:r>
              <w:rPr>
                <w:rFonts w:ascii="Times New Roman" w:hAnsi="Times New Roman" w:eastAsia="Times New Roman"/>
                <w:sz w:val="18"/>
                <w:szCs w:val="18"/>
                <w:lang w:eastAsia="ru-ru"/>
              </w:rPr>
            </w:r>
          </w:p>
        </w:tc>
        <w:tc>
          <w:tcPr>
            <w:tcW w:w="1935" w:type="dxa"/>
            <w:tmTcPr id="1759223739" protected="0"/>
          </w:tcPr>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t>за КОПФГ</w:t>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111</w:t>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Вид економічної діяльності  </w:t>
            </w:r>
            <w:r>
              <w:rPr>
                <w:rFonts w:ascii="Times New Roman" w:hAnsi="Times New Roman" w:eastAsia="Times New Roman"/>
                <w:sz w:val="18"/>
                <w:szCs w:val="18"/>
                <w:u w:color="auto" w:val="single"/>
                <w:lang w:eastAsia="ru-ru"/>
              </w:rPr>
              <w:t>ВИРОБНИЦТВО ІНШИХ МАШИН І УСТАТКОВАННЯ ЗАГАЛЬНОГО ПРИЗНАЧЕННЯ, Н. В. І. У."</w:t>
            </w: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КВЕД</w:t>
            </w:r>
            <w:r>
              <w:rPr>
                <w:rFonts w:ascii="Times New Roman" w:hAnsi="Times New Roman" w:eastAsia="Times New Roman"/>
                <w:sz w:val="18"/>
                <w:szCs w:val="18"/>
                <w:lang w:eastAsia="ru-ru"/>
              </w:rPr>
            </w:r>
          </w:p>
        </w:tc>
        <w:tc>
          <w:tcPr>
            <w:tcW w:w="2005"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28.29"</w:t>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Середн</w:t>
            </w:r>
            <w:r>
              <w:rPr>
                <w:rFonts w:ascii="Times New Roman" w:hAnsi="Times New Roman" w:eastAsia="Times New Roman"/>
                <w:sz w:val="18"/>
                <w:szCs w:val="18"/>
                <w:lang w:val="uk-ua" w:eastAsia="ru-ru"/>
              </w:rPr>
              <w:t>я кількість працівників</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val="en-us" w:eastAsia="ru-ru"/>
              </w:rPr>
              <w:t>2</w:t>
            </w:r>
            <w:r>
              <w:rPr>
                <w:rFonts w:ascii="Times New Roman" w:hAnsi="Times New Roman" w:eastAsia="Times New Roman"/>
                <w:sz w:val="18"/>
                <w:szCs w:val="18"/>
                <w:lang w:eastAsia="ru-ru"/>
              </w:rPr>
            </w:r>
          </w:p>
        </w:tc>
        <w:tc>
          <w:tcPr>
            <w:tcW w:w="1935"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cBorders>
              <w:top w:val="single" w:sz="4" w:space="0" w:color="000000" tmln="10, 20, 20, 0, 0"/>
            </w:tcBorders>
            <w:tmTcPr id="1759223739"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Одиниця виміру</w:t>
            </w:r>
            <w:r>
              <w:rPr>
                <w:rFonts w:ascii="Times New Roman" w:hAnsi="Times New Roman" w:eastAsia="Times New Roman"/>
                <w:sz w:val="18"/>
                <w:szCs w:val="18"/>
                <w:lang w:eastAsia="ru-ru"/>
              </w:rPr>
              <w:t xml:space="preserve"> :</w:t>
            </w:r>
            <w:r>
              <w:rPr>
                <w:rFonts w:ascii="Times New Roman" w:hAnsi="Times New Roman" w:eastAsia="Times New Roman"/>
                <w:sz w:val="18"/>
                <w:szCs w:val="18"/>
                <w:lang w:val="uk-ua" w:eastAsia="ru-ru"/>
              </w:rPr>
              <w:t xml:space="preserve"> </w:t>
            </w:r>
            <w:r>
              <w:rPr>
                <w:rFonts w:ascii="Times New Roman" w:hAnsi="Times New Roman" w:eastAsia="Times New Roman"/>
                <w:color w:val="000000"/>
                <w:sz w:val="18"/>
                <w:szCs w:val="18"/>
                <w:lang w:eastAsia="ru-ru"/>
              </w:rPr>
              <w:t>тис. грн. з одним десятковим знаком</w:t>
            </w: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tcBorders>
            <w:tmTcPr id="1759223739" protected="0"/>
          </w:tcPr>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r>
          </w:p>
        </w:tc>
        <w:tc>
          <w:tcPr>
            <w:tcW w:w="2005" w:type="dxa"/>
            <w:gridSpan w:val="3"/>
            <w:tmTcPr id="1759223739"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Адреса</w:t>
            </w:r>
            <w:r>
              <w:rPr>
                <w:rFonts w:ascii="Times New Roman" w:hAnsi="Times New Roman" w:eastAsia="Times New Roman"/>
                <w:sz w:val="18"/>
                <w:szCs w:val="18"/>
                <w:lang w:val="uk-ua" w:eastAsia="ru-ru"/>
              </w:rPr>
              <w:t>, телефон</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01014  Печерський район м.Київ вул.Зв</w:t>
            </w:r>
            <w:r>
              <w:rPr>
                <w:rFonts w:ascii="Times New Roman" w:hAnsi="Times New Roman" w:eastAsia="Times New Roman"/>
                <w:sz w:val="18"/>
                <w:szCs w:val="18"/>
                <w:u w:color="auto" w:val="single"/>
                <w:lang w:val="en-us" w:eastAsia="ru-ru"/>
              </w:rPr>
              <w:t>i</w:t>
            </w:r>
            <w:r>
              <w:rPr>
                <w:rFonts w:ascii="Times New Roman" w:hAnsi="Times New Roman" w:eastAsia="Times New Roman"/>
                <w:sz w:val="18"/>
                <w:szCs w:val="18"/>
                <w:u w:color="auto" w:val="single"/>
                <w:lang w:eastAsia="ru-ru"/>
              </w:rPr>
              <w:t>ринецька, буд.63, т.0968671022</w:t>
            </w:r>
            <w:r>
              <w:rPr>
                <w:rFonts w:ascii="Times New Roman" w:hAnsi="Times New Roman" w:eastAsia="Times New Roman"/>
                <w:sz w:val="18"/>
                <w:szCs w:val="18"/>
                <w:lang w:eastAsia="ru-ru"/>
              </w:rPr>
            </w:r>
          </w:p>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r>
          </w:p>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tcBorders>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mTcPr id="1759223739"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r>
        <w:trPr>
          <w:cantSplit w:val="0"/>
          <w:trHeight w:val="0" w:hRule="auto"/>
        </w:trPr>
        <w:tc>
          <w:tcPr>
            <w:tcW w:w="6016" w:type="dxa"/>
            <w:tmTcPr id="1759223739"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bl>
    <w:p>
      <w:pPr>
        <w:ind w:firstLine="567"/>
        <w:spacing w:after="0" w:line="240" w:lineRule="auto"/>
        <w:jc w:val="right"/>
        <w:widowControl w:val="0"/>
        <w:rPr>
          <w:rFonts w:ascii="Times New Roman" w:hAnsi="Times New Roman" w:eastAsia="Times New Roman"/>
          <w:b/>
          <w:lang w:eastAsia="ru-ru"/>
        </w:rPr>
      </w:pPr>
      <w:r>
        <w:rPr>
          <w:rFonts w:ascii="Times New Roman" w:hAnsi="Times New Roman" w:eastAsia="Times New Roman"/>
          <w:b/>
          <w:lang w:eastAsia="ru-ru"/>
        </w:rPr>
      </w:r>
    </w:p>
    <w:p>
      <w:pPr>
        <w:numPr>
          <w:ilvl w:val="0"/>
          <w:numId w:val="1"/>
        </w:numPr>
        <w:ind w:left="720" w:hanging="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color w:val="000000"/>
          <w:lang w:eastAsia="ru-ru"/>
        </w:rPr>
        <w:t xml:space="preserve">Баланс на </w:t>
      </w:r>
      <w:r>
        <w:rPr>
          <w:rFonts w:ascii="Times New Roman" w:hAnsi="Times New Roman" w:eastAsia="Times New Roman"/>
          <w:b/>
          <w:bCs/>
          <w:color w:val="000000"/>
          <w:lang w:val="en-us" w:eastAsia="ru-ru"/>
        </w:rPr>
        <w:t>"31" грудня 2022 р.</w:t>
      </w:r>
      <w:r>
        <w:rPr>
          <w:rFonts w:ascii="Times New Roman" w:hAnsi="Times New Roman" w:eastAsia="Times New Roman"/>
          <w:b/>
          <w:bCs/>
          <w:color w:val="000000"/>
          <w:lang w:eastAsia="ru-ru"/>
        </w:rPr>
        <w:t xml:space="preserve"> </w:t>
      </w:r>
      <w:r>
        <w:rPr>
          <w:rFonts w:ascii="Times New Roman" w:hAnsi="Times New Roman" w:eastAsia="Times New Roman"/>
          <w:b/>
          <w:bCs/>
          <w:lang w:val="uk-ua" w:eastAsia="ru-ru"/>
        </w:rPr>
      </w:r>
    </w:p>
    <w:p>
      <w:pPr>
        <w:ind w:left="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color w:val="000000"/>
          <w:lang w:eastAsia="ru-ru"/>
        </w:rPr>
        <w:t xml:space="preserve">Форма </w:t>
      </w:r>
      <w:r>
        <w:rPr>
          <w:rFonts w:ascii="Times New Roman" w:hAnsi="Times New Roman" w:eastAsia="Times New Roman"/>
          <w:b/>
          <w:bCs/>
          <w:color w:val="000000"/>
          <w:lang w:val="uk-ua" w:eastAsia="ru-ru"/>
        </w:rPr>
        <w:t>№</w:t>
      </w:r>
      <w:r>
        <w:rPr>
          <w:rFonts w:ascii="Times New Roman" w:hAnsi="Times New Roman" w:eastAsia="Times New Roman"/>
          <w:b/>
          <w:bCs/>
          <w:color w:val="000000"/>
          <w:lang w:eastAsia="ru-ru"/>
        </w:rPr>
        <w:t xml:space="preserve"> 1-м </w:t>
      </w:r>
      <w:r>
        <w:rPr>
          <w:rFonts w:ascii="Times New Roman" w:hAnsi="Times New Roman" w:eastAsia="Times New Roman"/>
          <w:b/>
          <w:bCs/>
          <w:lang w:val="uk-ua" w:eastAsia="ru-ru"/>
        </w:rPr>
      </w:r>
    </w:p>
    <w:tbl>
      <w:tblPr>
        <w:tblpPr w:horzAnchor="page" w:tblpX="7610" w:vertAnchor="text" w:tblpY="17" w:leftFromText="180" w:rightFromText="180" w:topFromText="0" w:bottomFromText="0"/>
        <w:tblOverlap w:val="never"/>
        <w:tblStyle w:val="NormalTable"/>
        <w:name w:val="Таблица50"/>
        <w:tabOrder w:val="0"/>
        <w:jc w:val="left"/>
        <w:tblInd w:w="0" w:type="dxa"/>
        <w:tblW w:w="2693" w:type="dxa"/>
        <w:tblLook w:val="00A0" w:firstRow="1" w:lastRow="0" w:firstColumn="1" w:lastColumn="0" w:noHBand="0" w:noVBand="0"/>
      </w:tblPr>
      <w:tblGrid>
        <w:gridCol w:w="1559"/>
        <w:gridCol w:w="1134"/>
      </w:tblGrid>
      <w:tr>
        <w:trPr>
          <w:cantSplit w:val="0"/>
          <w:trHeight w:val="0" w:hRule="auto"/>
        </w:trPr>
        <w:tc>
          <w:tcPr>
            <w:tcW w:w="1559" w:type="dxa"/>
            <w:vAlign w:val="center"/>
            <w:tmTcPr id="1759223739" protected="0"/>
          </w:tcPr>
          <w:p>
            <w:pPr>
              <w:spacing w:after="0" w:line="240" w:lineRule="auto"/>
              <w:widowControl w:val="0"/>
              <w:rPr>
                <w:rFonts w:ascii="Times New Roman" w:hAnsi="Times New Roman" w:eastAsia="Times New Roman"/>
                <w:lang w:eastAsia="ru-ru"/>
              </w:rPr>
            </w:pPr>
            <w:r>
              <w:rPr>
                <w:rFonts w:ascii="Times New Roman" w:hAnsi="Times New Roman" w:eastAsia="Times New Roman"/>
                <w:lang w:eastAsia="ru-ru"/>
              </w:rPr>
              <w:t>Код за ДКУД</w:t>
            </w:r>
          </w:p>
        </w:tc>
        <w:tc>
          <w:tcPr>
            <w:tcW w:w="1134" w:type="dxa"/>
            <w:vAlign w:val="center"/>
            <w:tmTcPr id="1759223739" protected="0"/>
          </w:tcPr>
          <w:p>
            <w:pPr>
              <w:spacing w:after="0" w:line="240" w:lineRule="auto"/>
              <w:suppressAutoHyphens/>
              <w:hyphenationLines w:val="0"/>
              <w:keepNext/>
              <w:keepLines/>
              <w:widowControl w:val="0"/>
              <w:rPr>
                <w:rFonts w:ascii="Times New Roman" w:hAnsi="Times New Roman" w:eastAsia="Times New Roman"/>
                <w:lang w:eastAsia="ru-ru"/>
              </w:rPr>
            </w:pPr>
            <w:r>
              <w:rPr>
                <w:rFonts w:ascii="Times New Roman" w:hAnsi="Times New Roman" w:eastAsia="Times New Roman"/>
                <w:lang w:eastAsia="ru-ru"/>
              </w:rPr>
              <w:t>1801006</w:t>
            </w:r>
          </w:p>
        </w:tc>
      </w:tr>
    </w:tbl>
    <w:p>
      <w:pPr>
        <w:ind w:left="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lang w:val="uk-ua" w:eastAsia="ru-ru"/>
        </w:rPr>
        <w:t xml:space="preserve">  </w:t>
      </w:r>
    </w:p>
    <w:p>
      <w:pPr>
        <w:spacing w:after="0" w:line="240" w:lineRule="auto"/>
        <w:jc w:val="center"/>
        <w:widowControl w:val="0"/>
        <w:rPr>
          <w:rFonts w:ascii="Times New Roman" w:hAnsi="Times New Roman" w:eastAsia="Times New Roman"/>
          <w:b/>
          <w:bCs/>
          <w:sz w:val="10"/>
          <w:szCs w:val="10"/>
          <w:lang w:eastAsia="ru-ru"/>
        </w:rPr>
      </w:pPr>
      <w:r>
        <w:rPr>
          <w:rFonts w:ascii="Times New Roman" w:hAnsi="Times New Roman" w:eastAsia="Times New Roman"/>
          <w:b/>
          <w:bCs/>
          <w:sz w:val="10"/>
          <w:szCs w:val="10"/>
          <w:lang w:eastAsia="ru-ru"/>
        </w:rPr>
      </w:r>
    </w:p>
    <w:tbl>
      <w:tblPr>
        <w:tblStyle w:val="NormalTable"/>
        <w:name w:val="Таблица51"/>
        <w:tabOrder w:val="0"/>
        <w:jc w:val="left"/>
        <w:tblInd w:w="40" w:type="dxa"/>
        <w:tblW w:w="9881" w:type="dxa"/>
        <w:tblLook w:val="00A0" w:firstRow="1" w:lastRow="0" w:firstColumn="1" w:lastColumn="0" w:noHBand="0" w:noVBand="0"/>
      </w:tblPr>
      <w:tblGrid>
        <w:gridCol w:w="5082"/>
        <w:gridCol w:w="989"/>
        <w:gridCol w:w="1834"/>
        <w:gridCol w:w="1976"/>
      </w:tblGrid>
      <w:tr>
        <w:trPr>
          <w:cantSplit w:val="0"/>
          <w:trHeight w:val="0" w:hRule="auto"/>
        </w:trPr>
        <w:tc>
          <w:tcPr>
            <w:tcW w:w="5082"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b/>
                <w:lang w:eastAsia="ru-ru"/>
              </w:rPr>
            </w:pPr>
            <w:r>
              <w:rPr>
                <w:rFonts w:ascii="Times New Roman" w:hAnsi="Times New Roman" w:eastAsia="Times New Roman"/>
                <w:b/>
                <w:sz w:val="20"/>
                <w:lang w:eastAsia="ru-ru"/>
              </w:rPr>
              <w:t>Актив</w:t>
            </w:r>
            <w:r>
              <w:rPr>
                <w:rFonts w:ascii="Times New Roman" w:hAnsi="Times New Roman" w:eastAsia="Times New Roman"/>
                <w:b/>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Код рядка</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 xml:space="preserve">На початок звітного </w:t>
            </w:r>
            <w:r>
              <w:rPr>
                <w:rFonts w:ascii="Times New Roman" w:hAnsi="Times New Roman" w:eastAsia="Times New Roman"/>
                <w:b/>
                <w:bCs/>
                <w:sz w:val="20"/>
                <w:szCs w:val="20"/>
                <w:lang w:val="uk-ua" w:eastAsia="ru-ru"/>
              </w:rPr>
              <w:t>періоду</w:t>
            </w:r>
            <w:r>
              <w:rPr>
                <w:rFonts w:ascii="Times New Roman" w:hAnsi="Times New Roman" w:eastAsia="Times New Roman"/>
                <w:b/>
                <w:bCs/>
                <w:sz w:val="20"/>
                <w:szCs w:val="20"/>
                <w:lang w:val="uk-ua"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кінець звітного періоду</w:t>
            </w:r>
          </w:p>
        </w:tc>
      </w:tr>
      <w:tr>
        <w:trPr>
          <w:cantSplit w:val="0"/>
          <w:trHeight w:val="0" w:hRule="auto"/>
        </w:trPr>
        <w:tc>
          <w:tcPr>
            <w:tcW w:w="5082"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1</w:t>
            </w:r>
          </w:p>
        </w:tc>
        <w:tc>
          <w:tcPr>
            <w:tcW w:w="989"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2</w:t>
            </w:r>
          </w:p>
        </w:tc>
        <w:tc>
          <w:tcPr>
            <w:tcW w:w="1834"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3</w:t>
            </w:r>
          </w:p>
        </w:tc>
        <w:tc>
          <w:tcPr>
            <w:tcW w:w="1976"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4</w:t>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val="en-us" w:eastAsia="ru-ru"/>
              </w:rPr>
              <w:t xml:space="preserve">               </w:t>
            </w:r>
            <w:r>
              <w:rPr>
                <w:rFonts w:ascii="Times New Roman" w:hAnsi="Times New Roman" w:eastAsia="Times New Roman"/>
                <w:b/>
                <w:sz w:val="20"/>
                <w:lang w:eastAsia="ru-ru"/>
              </w:rPr>
              <w:t>І. Необоротні активи</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Нематеріальні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jc w:val="center"/>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1000</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w:t>
            </w:r>
            <w:r>
              <w:rPr>
                <w:rFonts w:ascii="Times New Roman" w:hAnsi="Times New Roman" w:eastAsia="Times New Roman"/>
                <w:sz w:val="20"/>
                <w:szCs w:val="20"/>
                <w:lang w:val="en-us"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Первісна вартість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jc w:val="center"/>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1001</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7.3</w:t>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7.3</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Накопичена амортизація</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before="100" w:after="100" w:beforeAutospacing="1" w:afterAutospacing="1" w:line="240" w:lineRule="auto"/>
              <w:jc w:val="center"/>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1002</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( 7.3 )</w:t>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( 7.3 )</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Cs/>
                <w:sz w:val="20"/>
                <w:szCs w:val="20"/>
                <w:lang w:eastAsia="ru-ru"/>
              </w:rPr>
            </w:pPr>
            <w:r>
              <w:rPr>
                <w:rFonts w:ascii="Times New Roman" w:hAnsi="Times New Roman" w:eastAsia="Times New Roman"/>
                <w:sz w:val="20"/>
                <w:szCs w:val="20"/>
                <w:lang w:eastAsia="ru-ru"/>
              </w:rPr>
              <w:t>Незавершені капітальні інвестиції</w:t>
            </w:r>
            <w:r>
              <w:rPr>
                <w:rFonts w:ascii="Times New Roman" w:hAnsi="Times New Roman" w:eastAsia="Times New Roman"/>
                <w:bCs/>
                <w:sz w:val="20"/>
                <w:szCs w:val="20"/>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1005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2817.0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2817.0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Основні засоби: </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0.9</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2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первісна вартість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1011</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20.1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20.2</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2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знос</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1012</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( 19.0 )</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( 19.3 )</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Довгострокові біологічні активи</w:t>
            </w:r>
            <w:r>
              <w:rPr>
                <w:rFonts w:ascii="Times New Roman" w:hAnsi="Times New Roman" w:eastAsia="Times New Roman"/>
                <w:sz w:val="20"/>
                <w:szCs w:val="20"/>
                <w:lang w:val="en-us"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Довгострокові фінансові інвестиції</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1030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7.2</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7.2</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необоротні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І</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2825.3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2825.1</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II. 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Запаси: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1100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862.6</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852.9</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у</w:t>
            </w:r>
            <w:r>
              <w:rPr>
                <w:rFonts w:ascii="Times New Roman" w:hAnsi="Times New Roman" w:eastAsia="Times New Roman"/>
                <w:sz w:val="20"/>
                <w:szCs w:val="20"/>
                <w:lang w:eastAsia="ru-ru"/>
              </w:rPr>
              <w:t xml:space="preserve"> тому числі</w:t>
            </w:r>
            <w:r>
              <w:rPr>
                <w:rFonts w:ascii="Times New Roman" w:hAnsi="Times New Roman" w:eastAsia="Times New Roman"/>
                <w:sz w:val="20"/>
                <w:szCs w:val="20"/>
                <w:lang w:val="uk-ua" w:eastAsia="ru-ru"/>
              </w:rPr>
              <w:t xml:space="preserve"> готова продукція</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1103</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32.5</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32.2</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Поточні біологічні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Дебіторська заборгованість за товари, роботи, послуги</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797.6</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1034.7</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Дебіторська заборгованість за розрахунками з бюджетом</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1135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5.9</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107.6</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у тому числі з податку на прибуток</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1136</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2.7</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Інша поточна дебіторська заборгованість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1155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564.1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36.4</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Поточні фінансові інвестиції</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1160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Гроші та їх еквіваленти</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1165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470.0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600.1</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hanging="40"/>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Витрати майбутніх періодів</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1170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959.1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1060.0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46.3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73.0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II</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3705.6</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3764.7</w:t>
            </w:r>
            <w:r>
              <w:rPr>
                <w:rFonts w:ascii="Times New Roman" w:hAnsi="Times New Roman" w:eastAsia="Times New Roman"/>
                <w:sz w:val="20"/>
                <w:szCs w:val="20"/>
                <w:lang w:eastAsia="ru-ru"/>
              </w:rPr>
            </w:r>
          </w:p>
        </w:tc>
      </w:tr>
      <w:tr>
        <w:trPr>
          <w:cantSplit w:val="0"/>
          <w:trHeight w:val="59" w:hRule="atLeast"/>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color w:val="000000"/>
                <w:sz w:val="20"/>
                <w:szCs w:val="20"/>
                <w:lang w:val="en-us" w:eastAsia="ru-ru"/>
              </w:rPr>
              <w:t>I</w:t>
            </w:r>
            <w:r>
              <w:rPr>
                <w:rFonts w:ascii="Times New Roman" w:hAnsi="Times New Roman" w:eastAsia="Times New Roman"/>
                <w:b/>
                <w:bCs/>
                <w:color w:val="000000"/>
                <w:sz w:val="20"/>
                <w:szCs w:val="20"/>
                <w:lang w:val="uk-ua" w:eastAsia="ru-ru"/>
              </w:rPr>
              <w:t>ІІ</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Необоротні</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активи, утримані для продажу,</w:t>
            </w:r>
            <w:r>
              <w:rPr>
                <w:rFonts w:ascii="Times New Roman" w:hAnsi="Times New Roman" w:eastAsia="Times New Roman"/>
                <w:b/>
                <w:bCs/>
                <w:color w:val="000000"/>
                <w:sz w:val="20"/>
                <w:szCs w:val="20"/>
                <w:lang w:eastAsia="ru-ru"/>
              </w:rPr>
              <w:t xml:space="preserve"> та </w:t>
            </w:r>
            <w:r>
              <w:rPr>
                <w:rFonts w:ascii="Times New Roman" w:hAnsi="Times New Roman" w:eastAsia="Times New Roman"/>
                <w:b/>
                <w:bCs/>
                <w:color w:val="000000"/>
                <w:sz w:val="20"/>
                <w:szCs w:val="20"/>
                <w:lang w:val="uk-ua" w:eastAsia="ru-ru"/>
              </w:rPr>
              <w:t>групи</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вибуття</w:t>
            </w:r>
            <w:r>
              <w:rPr>
                <w:rFonts w:ascii="Times New Roman" w:hAnsi="Times New Roman" w:eastAsia="Times New Roman"/>
                <w:b/>
                <w:bCs/>
                <w:sz w:val="20"/>
                <w:szCs w:val="20"/>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1200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eastAsia="ru-ru"/>
              </w:rPr>
              <w:t>Баланс</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1300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6530.9</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6589.8</w:t>
            </w:r>
            <w:r>
              <w:rPr>
                <w:rFonts w:ascii="Times New Roman" w:hAnsi="Times New Roman" w:eastAsia="Times New Roman"/>
                <w:sz w:val="20"/>
                <w:szCs w:val="20"/>
                <w:lang w:eastAsia="ru-ru"/>
              </w:rPr>
            </w:r>
          </w:p>
        </w:tc>
      </w:tr>
    </w:tbl>
    <w:p>
      <w:pPr>
        <w:ind w:firstLine="567"/>
        <w:spacing w:after="0" w:line="240" w:lineRule="auto"/>
        <w:widowControl w:val="0"/>
        <w:rPr>
          <w:rFonts w:ascii="Times New Roman" w:hAnsi="Times New Roman" w:eastAsia="Times New Roman"/>
          <w:sz w:val="10"/>
          <w:szCs w:val="10"/>
          <w:lang w:eastAsia="ru-ru"/>
        </w:rPr>
      </w:pPr>
      <w:r>
        <w:rPr>
          <w:rFonts w:ascii="Times New Roman" w:hAnsi="Times New Roman" w:eastAsia="Times New Roman"/>
          <w:sz w:val="10"/>
          <w:szCs w:val="10"/>
          <w:lang w:eastAsia="ru-ru"/>
        </w:rPr>
      </w:r>
    </w:p>
    <w:p>
      <w:pPr>
        <w:ind w:firstLine="567"/>
        <w:spacing w:after="0" w:line="240" w:lineRule="auto"/>
        <w:widowControl w:val="0"/>
        <w:rPr>
          <w:rFonts w:ascii="Times New Roman" w:hAnsi="Times New Roman" w:eastAsia="Times New Roman"/>
          <w:sz w:val="10"/>
          <w:szCs w:val="10"/>
          <w:lang w:val="uk-ua" w:eastAsia="ru-ru"/>
        </w:rPr>
      </w:pPr>
      <w:r>
        <w:rPr>
          <w:rFonts w:ascii="Times New Roman" w:hAnsi="Times New Roman" w:eastAsia="Times New Roman"/>
          <w:sz w:val="10"/>
          <w:szCs w:val="10"/>
          <w:lang w:val="uk-ua" w:eastAsia="ru-ru"/>
        </w:rPr>
      </w:r>
    </w:p>
    <w:p>
      <w:pPr>
        <w:ind w:firstLine="567"/>
        <w:spacing w:after="0" w:line="240" w:lineRule="auto"/>
        <w:widowControl w:val="0"/>
        <w:rPr>
          <w:rFonts w:ascii="Times New Roman" w:hAnsi="Times New Roman" w:eastAsia="Times New Roman"/>
          <w:sz w:val="10"/>
          <w:szCs w:val="10"/>
          <w:lang w:val="uk-ua" w:eastAsia="ru-ru"/>
        </w:rPr>
      </w:pPr>
      <w:r>
        <w:rPr>
          <w:rFonts w:ascii="Times New Roman" w:hAnsi="Times New Roman" w:eastAsia="Times New Roman"/>
          <w:sz w:val="10"/>
          <w:szCs w:val="10"/>
          <w:lang w:val="uk-ua" w:eastAsia="ru-ru"/>
        </w:rPr>
      </w:r>
    </w:p>
    <w:p>
      <w:pPr>
        <w:ind w:firstLine="567"/>
        <w:spacing w:after="0" w:line="240" w:lineRule="auto"/>
        <w:widowControl w:val="0"/>
        <w:rPr>
          <w:rFonts w:ascii="Times New Roman" w:hAnsi="Times New Roman" w:eastAsia="Times New Roman"/>
          <w:sz w:val="10"/>
          <w:szCs w:val="10"/>
          <w:lang w:eastAsia="ru-ru"/>
        </w:rPr>
      </w:pPr>
      <w:r>
        <w:rPr>
          <w:rFonts w:ascii="Times New Roman" w:hAnsi="Times New Roman" w:eastAsia="Times New Roman"/>
          <w:sz w:val="10"/>
          <w:szCs w:val="10"/>
          <w:lang w:eastAsia="ru-ru"/>
        </w:rPr>
      </w:r>
    </w:p>
    <w:tbl>
      <w:tblPr>
        <w:tblStyle w:val="NormalTable"/>
        <w:name w:val="Таблица52"/>
        <w:tabOrder w:val="0"/>
        <w:jc w:val="left"/>
        <w:tblInd w:w="40" w:type="dxa"/>
        <w:tblW w:w="9881" w:type="dxa"/>
        <w:tblLook w:val="00A0" w:firstRow="1" w:lastRow="0" w:firstColumn="1" w:lastColumn="0" w:noHBand="0" w:noVBand="0"/>
      </w:tblPr>
      <w:tblGrid>
        <w:gridCol w:w="5082"/>
        <w:gridCol w:w="989"/>
        <w:gridCol w:w="1834"/>
        <w:gridCol w:w="1976"/>
      </w:tblGrid>
      <w:tr>
        <w:trPr>
          <w:cantSplit w:val="0"/>
          <w:trHeight w:val="0" w:hRule="auto"/>
        </w:trPr>
        <w:tc>
          <w:tcPr>
            <w:tcW w:w="5082"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b/>
                <w:lang w:eastAsia="ru-ru"/>
              </w:rPr>
            </w:pPr>
            <w:r>
              <w:rPr>
                <w:rFonts w:ascii="Times New Roman" w:hAnsi="Times New Roman" w:eastAsia="Times New Roman"/>
                <w:b/>
                <w:sz w:val="20"/>
                <w:lang w:eastAsia="ru-ru"/>
              </w:rPr>
              <w:t>Пасив</w:t>
            </w:r>
            <w:r>
              <w:rPr>
                <w:rFonts w:ascii="Times New Roman" w:hAnsi="Times New Roman" w:eastAsia="Times New Roman"/>
                <w:b/>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Код рядка</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початок звітного року</w:t>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кінець звітного періоду</w:t>
            </w:r>
          </w:p>
        </w:tc>
      </w:tr>
      <w:tr>
        <w:trPr>
          <w:cantSplit w:val="0"/>
          <w:trHeight w:val="0" w:hRule="auto"/>
        </w:trPr>
        <w:tc>
          <w:tcPr>
            <w:tcW w:w="5082"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1</w:t>
            </w:r>
          </w:p>
        </w:tc>
        <w:tc>
          <w:tcPr>
            <w:tcW w:w="989"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2</w:t>
            </w:r>
          </w:p>
        </w:tc>
        <w:tc>
          <w:tcPr>
            <w:tcW w:w="1834"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3</w:t>
            </w:r>
          </w:p>
        </w:tc>
        <w:tc>
          <w:tcPr>
            <w:tcW w:w="1976"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4</w:t>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І. Власний капітал</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xml:space="preserve">Зареєстрований (пайовий) </w:t>
            </w:r>
            <w:r>
              <w:rPr>
                <w:rFonts w:ascii="Times New Roman" w:hAnsi="Times New Roman" w:eastAsia="Times New Roman"/>
                <w:sz w:val="20"/>
                <w:szCs w:val="20"/>
                <w:lang w:eastAsia="ru-ru"/>
              </w:rPr>
              <w:t>капітал</w:t>
            </w:r>
            <w:r>
              <w:rPr>
                <w:rFonts w:ascii="Times New Roman" w:hAnsi="Times New Roman" w:eastAsia="Times New Roman"/>
                <w:sz w:val="20"/>
                <w:szCs w:val="20"/>
                <w:lang w:val="en-us"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3956.3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3956.3</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Додатковий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410.8</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410.8</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Резервний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1415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304.0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304.0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Нерозподілений прибуток (непокритий збиток)</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1051.4</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1096.6</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Неоплачений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    )</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    )</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І</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5722.5</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5767.7</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II. Довгострокові зобов'язання</w:t>
            </w:r>
            <w:r>
              <w:rPr>
                <w:rFonts w:ascii="Times New Roman" w:hAnsi="Times New Roman" w:eastAsia="Times New Roman"/>
                <w:b/>
                <w:bCs/>
                <w:sz w:val="20"/>
                <w:szCs w:val="20"/>
                <w:lang w:val="uk-ua" w:eastAsia="ru-ru"/>
              </w:rPr>
              <w:t>, цільове фінансування та забезпечення</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1595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III. Поточні зобов'язання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Короткострокові кредити банків</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 xml:space="preserve">Поточна </w:t>
            </w:r>
            <w:r>
              <w:rPr>
                <w:rFonts w:ascii="Times New Roman" w:hAnsi="Times New Roman" w:eastAsia="Times New Roman"/>
                <w:sz w:val="20"/>
                <w:szCs w:val="20"/>
                <w:lang w:val="uk-ua" w:eastAsia="ru-ru"/>
              </w:rPr>
              <w:t xml:space="preserve">кредиторська </w:t>
            </w:r>
            <w:r>
              <w:rPr>
                <w:rFonts w:ascii="Times New Roman" w:hAnsi="Times New Roman" w:eastAsia="Times New Roman"/>
                <w:sz w:val="20"/>
                <w:szCs w:val="20"/>
                <w:lang w:eastAsia="ru-ru"/>
              </w:rPr>
              <w:t>заборгованість за</w:t>
            </w: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val="uk-ua" w:eastAsia="ru-ru"/>
              </w:rPr>
            </w:r>
          </w:p>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eastAsia="ru-ru"/>
              </w:rPr>
              <w:t>довгостроковими зобов'язаннями</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eastAsia="ru-ru"/>
              </w:rPr>
              <w:t>за товари, роботи, послуги</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1615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714.3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816.7</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 xml:space="preserve">      розрахунками з бюджетом</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 xml:space="preserve">      у тому числі з податку на прибуток</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1621</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hanging="40"/>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розрахунками </w:t>
            </w:r>
            <w:r>
              <w:rPr>
                <w:rFonts w:ascii="Times New Roman" w:hAnsi="Times New Roman" w:eastAsia="Times New Roman"/>
                <w:sz w:val="20"/>
                <w:szCs w:val="20"/>
                <w:lang w:eastAsia="ru-ru"/>
              </w:rPr>
              <w:t>зі страхування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4.8</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розрахунками </w:t>
            </w:r>
            <w:r>
              <w:rPr>
                <w:rFonts w:ascii="Times New Roman" w:hAnsi="Times New Roman" w:eastAsia="Times New Roman"/>
                <w:sz w:val="20"/>
                <w:szCs w:val="20"/>
                <w:lang w:eastAsia="ru-ru"/>
              </w:rPr>
              <w:t>з оплати праці</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1630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hanging="40"/>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Доходи майбутніх періодів</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1665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поточні зобов'язання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87.3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5.4</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Усього за розділом I</w:t>
            </w:r>
            <w:r>
              <w:rPr>
                <w:rFonts w:ascii="Times New Roman" w:hAnsi="Times New Roman" w:eastAsia="Times New Roman"/>
                <w:b/>
                <w:bCs/>
                <w:sz w:val="20"/>
                <w:szCs w:val="20"/>
                <w:lang w:val="uk-ua" w:eastAsia="ru-ru"/>
              </w:rPr>
              <w:t>ІІ</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808.4</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822.1</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І</w:t>
            </w:r>
            <w:r>
              <w:rPr>
                <w:rFonts w:ascii="Times New Roman" w:hAnsi="Times New Roman" w:eastAsia="Times New Roman"/>
                <w:b/>
                <w:bCs/>
                <w:sz w:val="20"/>
                <w:szCs w:val="20"/>
                <w:lang w:eastAsia="ru-ru"/>
              </w:rPr>
              <w:t xml:space="preserve">V. </w:t>
            </w:r>
            <w:r>
              <w:rPr>
                <w:rFonts w:ascii="Times New Roman" w:hAnsi="Times New Roman" w:eastAsia="Times New Roman"/>
                <w:b/>
                <w:bCs/>
                <w:sz w:val="20"/>
                <w:szCs w:val="20"/>
                <w:lang w:val="uk-ua" w:eastAsia="ru-ru"/>
              </w:rPr>
              <w:t>Зобов’</w:t>
            </w:r>
            <w:r>
              <w:rPr>
                <w:rFonts w:ascii="Times New Roman" w:hAnsi="Times New Roman" w:eastAsia="Times New Roman"/>
                <w:b/>
                <w:bCs/>
                <w:sz w:val="20"/>
                <w:szCs w:val="20"/>
                <w:lang w:eastAsia="ru-ru"/>
              </w:rPr>
              <w:t>язання, пов’язані з необоротними активами, утримуваними для продажу та групами вибуття</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1700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eastAsia="ru-ru"/>
              </w:rPr>
              <w:t>Баланс</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1900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6530.9</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39"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6589.8</w:t>
            </w:r>
            <w:r>
              <w:rPr>
                <w:rFonts w:ascii="Times New Roman" w:hAnsi="Times New Roman" w:eastAsia="Times New Roman"/>
                <w:sz w:val="20"/>
                <w:szCs w:val="20"/>
                <w:lang w:eastAsia="ru-ru"/>
              </w:rPr>
            </w:r>
          </w:p>
        </w:tc>
      </w:tr>
    </w:tbl>
    <w:p>
      <w:pPr>
        <w:ind w:firstLine="567"/>
        <w:spacing w:after="0" w:line="240" w:lineRule="auto"/>
        <w:jc w:val="right"/>
        <w:widowControl w:val="0"/>
        <w:rPr>
          <w:rFonts w:ascii="Times New Roman" w:hAnsi="Times New Roman" w:eastAsia="Times New Roman"/>
          <w:b/>
          <w:lang w:val="uk-ua" w:eastAsia="ru-ru"/>
        </w:rPr>
      </w:pPr>
      <w:r>
        <w:rPr>
          <w:rFonts w:ascii="Times New Roman" w:hAnsi="Times New Roman" w:eastAsia="Times New Roman"/>
          <w:b/>
          <w:lang w:val="uk-ua" w:eastAsia="ru-ru"/>
        </w:rPr>
      </w:r>
    </w:p>
    <w:p>
      <w:pPr>
        <w:spacing w:after="0" w:line="240" w:lineRule="auto"/>
        <w:jc w:val="both"/>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t xml:space="preserve">Фiнансова звiтнiсть ПРАТ "Макіївський завод "Факел" пiдготовлена відповідно до НП(С)БО та відповідає вимогам Закону України "Про бухгалтерський облiк та фiнансову звiтнiсть в Українi" від 16.07.1999 №996-XIV щодо складання фінансової звітності, та iнших нормативних документiв, що регулюють бухгалтерський облiк в Українi. </w:t>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t xml:space="preserve">  Метою складання балансу ПРАТ "Макіївський завод "Факел" є надання користувачам повної, правдивої, неупередженої iнформацiї про фiнансовий стан пiдприємства на 31 грудня 2021 року. </w:t>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r>
    </w:p>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uk-ua" w:eastAsia="ru-ru"/>
        </w:rPr>
      </w:pPr>
      <w:r>
        <w:rPr>
          <w:rFonts w:ascii="Times New Roman" w:hAnsi="Times New Roman" w:eastAsia="Times New Roman"/>
          <w:b/>
          <w:sz w:val="20"/>
          <w:szCs w:val="20"/>
          <w:lang w:val="uk-ua" w:eastAsia="ru-ru"/>
        </w:rPr>
      </w:r>
    </w:p>
    <w:p>
      <w:pPr>
        <w:spacing w:after="0" w:line="240" w:lineRule="auto"/>
        <w:jc w:val="center"/>
        <w:widowControl w:val="0"/>
        <w:rPr>
          <w:rFonts w:ascii="Times New Roman" w:hAnsi="Times New Roman" w:eastAsia="Times New Roman"/>
          <w:b/>
          <w:bCs/>
          <w:lang w:eastAsia="ru-ru"/>
        </w:rPr>
      </w:pPr>
      <w:r>
        <w:rPr>
          <w:rFonts w:ascii="Times New Roman" w:hAnsi="Times New Roman" w:eastAsia="Times New Roman"/>
          <w:b/>
          <w:bCs/>
          <w:lang w:eastAsia="ru-ru"/>
        </w:rPr>
        <w:t xml:space="preserve">2. ЗВІТ ПРО ФІНАНСОВІ РЕЗУЛЬТАТИ </w:t>
      </w:r>
    </w:p>
    <w:p>
      <w:pPr>
        <w:spacing w:after="0" w:line="240" w:lineRule="auto"/>
        <w:jc w:val="center"/>
        <w:widowControl w:val="0"/>
        <w:rPr>
          <w:rFonts w:ascii="Times New Roman" w:hAnsi="Times New Roman" w:eastAsia="Times New Roman"/>
          <w:b/>
          <w:bCs/>
          <w:color w:val="000000"/>
          <w:lang w:eastAsia="ru-ru"/>
        </w:rPr>
      </w:pPr>
      <w:r>
        <w:rPr>
          <w:rFonts w:ascii="Times New Roman" w:hAnsi="Times New Roman" w:eastAsia="Times New Roman"/>
          <w:b/>
          <w:bCs/>
          <w:color w:val="000000"/>
          <w:lang w:val="uk-ua" w:eastAsia="ru-ru"/>
        </w:rPr>
        <w:t xml:space="preserve"> </w:t>
      </w:r>
      <w:r>
        <w:rPr>
          <w:rFonts w:ascii="Times New Roman" w:hAnsi="Times New Roman" w:eastAsia="Times New Roman"/>
          <w:b/>
          <w:bCs/>
          <w:color w:val="000000"/>
          <w:lang w:eastAsia="ru-ru"/>
        </w:rPr>
        <w:t xml:space="preserve">за рік 2022 </w:t>
      </w:r>
      <w:r>
        <w:rPr>
          <w:rFonts w:ascii="Times New Roman" w:hAnsi="Times New Roman" w:eastAsia="Times New Roman"/>
          <w:b/>
          <w:bCs/>
          <w:color w:val="000000"/>
          <w:lang w:val="uk-ua" w:eastAsia="ru-ru"/>
        </w:rPr>
        <w:t xml:space="preserve"> </w:t>
      </w:r>
      <w:r>
        <w:rPr>
          <w:rFonts w:ascii="Times New Roman" w:hAnsi="Times New Roman" w:eastAsia="Times New Roman"/>
          <w:b/>
          <w:bCs/>
          <w:color w:val="000000"/>
          <w:lang w:eastAsia="ru-ru"/>
        </w:rPr>
        <w:t>рік</w:t>
      </w:r>
      <w:r>
        <w:rPr>
          <w:rFonts w:ascii="Times New Roman" w:hAnsi="Times New Roman" w:eastAsia="Times New Roman"/>
          <w:b/>
          <w:bCs/>
          <w:color w:val="000000"/>
          <w:lang w:eastAsia="ru-ru"/>
        </w:rPr>
      </w:r>
    </w:p>
    <w:p>
      <w:pPr>
        <w:ind w:firstLine="567"/>
        <w:spacing w:after="0" w:line="240" w:lineRule="auto"/>
        <w:jc w:val="right"/>
        <w:widowControl w:val="0"/>
        <w:rPr>
          <w:rFonts w:ascii="Arial Narrow" w:hAnsi="Arial Narrow" w:eastAsia="Times New Roman" w:cs="Arial Narrow"/>
          <w:b/>
          <w:lang w:eastAsia="ru-ru"/>
        </w:rPr>
      </w:pPr>
      <w:r>
        <w:rPr>
          <w:rFonts w:ascii="Arial Narrow" w:hAnsi="Arial Narrow" w:eastAsia="Times New Roman" w:cs="Arial Narrow"/>
          <w:b/>
          <w:lang w:eastAsia="ru-ru"/>
        </w:rPr>
        <w:t>Форма N 2-м</w:t>
      </w:r>
    </w:p>
    <w:tbl>
      <w:tblPr>
        <w:tblStyle w:val="NormalTable"/>
        <w:name w:val="Таблица53"/>
        <w:tabOrder w:val="0"/>
        <w:jc w:val="left"/>
        <w:tblInd w:w="6629" w:type="dxa"/>
        <w:tblW w:w="3202" w:type="dxa"/>
        <w:tblLook w:val="00A0" w:firstRow="1" w:lastRow="0" w:firstColumn="1" w:lastColumn="0" w:noHBand="0" w:noVBand="0"/>
      </w:tblPr>
      <w:tblGrid>
        <w:gridCol w:w="2158"/>
        <w:gridCol w:w="1044"/>
      </w:tblGrid>
      <w:tr>
        <w:trPr>
          <w:cantSplit w:val="0"/>
          <w:trHeight w:val="190" w:hRule="atLeast"/>
        </w:trPr>
        <w:tc>
          <w:tcPr>
            <w:tcW w:w="2158" w:type="dxa"/>
            <w:tmTcPr id="1759223739" protected="0"/>
          </w:tcPr>
          <w:p>
            <w:pPr>
              <w:spacing w:after="0" w:line="240" w:lineRule="auto"/>
              <w:jc w:val="center"/>
              <w:widowControl w:val="0"/>
              <w:rPr>
                <w:rFonts w:ascii="Arial Narrow" w:hAnsi="Arial Narrow" w:eastAsia="Times New Roman" w:cs="Arial Narrow"/>
                <w:lang w:val="uk-ua" w:eastAsia="ru-ru"/>
              </w:rPr>
            </w:pPr>
            <w:r>
              <w:rPr>
                <w:rFonts w:ascii="Arial Narrow" w:hAnsi="Arial Narrow" w:eastAsia="Times New Roman" w:cs="Arial Narrow"/>
                <w:lang w:val="uk-ua" w:eastAsia="ru-ru"/>
              </w:rPr>
              <w:t>Код за ДКУД</w:t>
            </w:r>
          </w:p>
        </w:tc>
        <w:tc>
          <w:tcPr>
            <w:tcW w:w="1044" w:type="dxa"/>
            <w:tmTcPr id="1759223739" protected="0"/>
          </w:tcPr>
          <w:p>
            <w:pPr>
              <w:spacing w:after="0" w:line="240" w:lineRule="auto"/>
              <w:widowControl w:val="0"/>
              <w:rPr>
                <w:rFonts w:ascii="Arial Narrow" w:hAnsi="Arial Narrow" w:eastAsia="Times New Roman" w:cs="Arial Narrow"/>
                <w:lang w:val="uk-ua" w:eastAsia="ru-ru"/>
              </w:rPr>
            </w:pPr>
            <w:r>
              <w:rPr>
                <w:rFonts w:ascii="Arial Narrow" w:hAnsi="Arial Narrow" w:eastAsia="Times New Roman" w:cs="Arial Narrow"/>
                <w:lang w:val="uk-ua" w:eastAsia="ru-ru"/>
              </w:rPr>
              <w:t>1801007</w:t>
            </w:r>
          </w:p>
        </w:tc>
      </w:tr>
    </w:tbl>
    <w:p>
      <w:pPr>
        <w:spacing w:after="0" w:line="240" w:lineRule="auto"/>
        <w:jc w:val="center"/>
        <w:widowControl w:val="0"/>
        <w:rPr>
          <w:rFonts w:ascii="Arial Narrow" w:hAnsi="Arial Narrow" w:eastAsia="Times New Roman" w:cs="Arial Narrow"/>
          <w:b/>
          <w:bCs/>
          <w:sz w:val="20"/>
          <w:szCs w:val="20"/>
          <w:lang w:eastAsia="ru-ru"/>
        </w:rPr>
      </w:pPr>
      <w:r>
        <w:rPr>
          <w:rFonts w:ascii="Arial Narrow" w:hAnsi="Arial Narrow" w:eastAsia="Times New Roman" w:cs="Arial Narrow"/>
          <w:b/>
          <w:bCs/>
          <w:sz w:val="20"/>
          <w:szCs w:val="20"/>
          <w:lang w:eastAsia="ru-ru"/>
        </w:rPr>
      </w:r>
    </w:p>
    <w:tbl>
      <w:tblPr>
        <w:tblStyle w:val="NormalTable"/>
        <w:name w:val="Таблица54"/>
        <w:tabOrder w:val="0"/>
        <w:jc w:val="left"/>
        <w:tblInd w:w="40" w:type="dxa"/>
        <w:tblW w:w="9883" w:type="dxa"/>
        <w:tblLook w:val="00A0" w:firstRow="1" w:lastRow="0" w:firstColumn="1" w:lastColumn="0" w:noHBand="0" w:noVBand="0"/>
      </w:tblPr>
      <w:tblGrid>
        <w:gridCol w:w="5647"/>
        <w:gridCol w:w="1129"/>
        <w:gridCol w:w="1554"/>
        <w:gridCol w:w="1553"/>
      </w:tblGrid>
      <w:tr>
        <w:trPr>
          <w:cantSplit w:val="0"/>
          <w:trHeight w:val="0" w:hRule="auto"/>
        </w:trPr>
        <w:tc>
          <w:tcPr>
            <w:tcW w:w="5647"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Стаття</w:t>
            </w:r>
          </w:p>
        </w:tc>
        <w:tc>
          <w:tcPr>
            <w:tcW w:w="1129"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Код рядка</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За звітний період</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За аналогічний період попереднього року</w:t>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1</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2</w:t>
            </w:r>
          </w:p>
        </w:tc>
        <w:tc>
          <w:tcPr>
            <w:tcW w:w="1554"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3</w:t>
            </w:r>
          </w:p>
        </w:tc>
        <w:tc>
          <w:tcPr>
            <w:tcW w:w="1553"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4</w:t>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Чистий дохід від реалізації продукції (товарів, робіт, послуг)</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2000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6774.5</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6631.4</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операційні доходи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2120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16.1</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582.7</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доходи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2240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b/>
                <w:sz w:val="20"/>
                <w:szCs w:val="20"/>
                <w:lang w:val="uk-ua" w:eastAsia="ru-ru"/>
              </w:rPr>
              <w:t>Разом доходи</w:t>
            </w:r>
            <w:r>
              <w:rPr>
                <w:rFonts w:ascii="Times New Roman" w:hAnsi="Times New Roman" w:eastAsia="Times New Roman"/>
                <w:sz w:val="20"/>
                <w:szCs w:val="20"/>
                <w:lang w:val="uk-ua" w:eastAsia="ru-ru"/>
              </w:rPr>
              <w:t xml:space="preserve"> ( 2000 + 2120 + 2240)</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2280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6790.6</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7214.1</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sz w:val="20"/>
                <w:szCs w:val="20"/>
                <w:lang w:val="uk-ua" w:eastAsia="ru-ru"/>
              </w:rPr>
            </w:pPr>
            <w:r>
              <w:rPr>
                <w:rFonts w:ascii="Times New Roman" w:hAnsi="Times New Roman" w:eastAsia="Times New Roman"/>
                <w:color w:val="000000"/>
                <w:sz w:val="20"/>
                <w:szCs w:val="20"/>
                <w:lang w:eastAsia="ru-ru"/>
              </w:rPr>
              <w:t>Собівартість реалізованої</w:t>
            </w:r>
            <w:r>
              <w:rPr>
                <w:rFonts w:ascii="Times New Roman" w:hAnsi="Times New Roman" w:eastAsia="Times New Roman"/>
                <w:color w:val="000000"/>
                <w:sz w:val="20"/>
                <w:szCs w:val="20"/>
                <w:lang w:val="uk-ua" w:eastAsia="ru-ru"/>
              </w:rPr>
              <w:t xml:space="preserve"> </w:t>
            </w:r>
            <w:r>
              <w:rPr>
                <w:rFonts w:ascii="Times New Roman" w:hAnsi="Times New Roman" w:eastAsia="Times New Roman"/>
                <w:color w:val="000000"/>
                <w:sz w:val="20"/>
                <w:szCs w:val="20"/>
                <w:lang w:eastAsia="ru-ru"/>
              </w:rPr>
              <w:t>продукції (товарів, робіт,</w:t>
            </w:r>
            <w:r>
              <w:rPr>
                <w:rFonts w:ascii="Times New Roman" w:hAnsi="Times New Roman" w:eastAsia="Times New Roman"/>
                <w:color w:val="000000"/>
                <w:sz w:val="20"/>
                <w:szCs w:val="20"/>
                <w:lang w:val="uk-ua" w:eastAsia="ru-ru"/>
              </w:rPr>
              <w:t>послуг)</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2050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( 5207.8 )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( 5637.0 )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операційні витрати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2180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( 1537.8 )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( 1449.6 )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витрати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2270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sz w:val="20"/>
                <w:szCs w:val="20"/>
                <w:lang w:val="uk-ua" w:eastAsia="ru-ru"/>
              </w:rPr>
            </w:pPr>
            <w:r>
              <w:rPr>
                <w:rFonts w:ascii="Times New Roman" w:hAnsi="Times New Roman" w:eastAsia="Times New Roman"/>
                <w:b/>
                <w:color w:val="000000"/>
                <w:sz w:val="20"/>
                <w:szCs w:val="20"/>
                <w:lang w:eastAsia="ru-ru"/>
              </w:rPr>
              <w:t>Разом витрати (</w:t>
            </w:r>
            <w:r>
              <w:rPr>
                <w:rFonts w:ascii="Times New Roman" w:hAnsi="Times New Roman" w:eastAsia="Times New Roman"/>
                <w:b/>
                <w:color w:val="000000"/>
                <w:sz w:val="20"/>
                <w:szCs w:val="20"/>
                <w:lang w:val="uk-ua" w:eastAsia="ru-ru"/>
              </w:rPr>
              <w:t>2</w:t>
            </w:r>
            <w:r>
              <w:rPr>
                <w:rFonts w:ascii="Times New Roman" w:hAnsi="Times New Roman" w:eastAsia="Times New Roman"/>
                <w:b/>
                <w:color w:val="000000"/>
                <w:sz w:val="20"/>
                <w:szCs w:val="20"/>
                <w:lang w:eastAsia="ru-ru"/>
              </w:rPr>
              <w:t>0</w:t>
            </w:r>
            <w:r>
              <w:rPr>
                <w:rFonts w:ascii="Times New Roman" w:hAnsi="Times New Roman" w:eastAsia="Times New Roman"/>
                <w:b/>
                <w:color w:val="000000"/>
                <w:sz w:val="20"/>
                <w:szCs w:val="20"/>
                <w:lang w:val="uk-ua" w:eastAsia="ru-ru"/>
              </w:rPr>
              <w:t>5</w:t>
            </w:r>
            <w:r>
              <w:rPr>
                <w:rFonts w:ascii="Times New Roman" w:hAnsi="Times New Roman" w:eastAsia="Times New Roman"/>
                <w:b/>
                <w:color w:val="000000"/>
                <w:sz w:val="20"/>
                <w:szCs w:val="20"/>
                <w:lang w:eastAsia="ru-ru"/>
              </w:rPr>
              <w:t xml:space="preserve">0 + </w:t>
            </w:r>
            <w:r>
              <w:rPr>
                <w:rFonts w:ascii="Times New Roman" w:hAnsi="Times New Roman" w:eastAsia="Times New Roman"/>
                <w:b/>
                <w:color w:val="000000"/>
                <w:sz w:val="20"/>
                <w:szCs w:val="20"/>
                <w:lang w:val="uk-ua" w:eastAsia="ru-ru"/>
              </w:rPr>
              <w:t>2180</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uk-ua" w:eastAsia="ru-ru"/>
              </w:rPr>
              <w:t>2270</w:t>
            </w:r>
            <w:r>
              <w:rPr>
                <w:rFonts w:ascii="Times New Roman" w:hAnsi="Times New Roman" w:eastAsia="Times New Roman"/>
                <w:b/>
                <w:color w:val="000000"/>
                <w:sz w:val="20"/>
                <w:szCs w:val="20"/>
                <w:lang w:eastAsia="ru-ru"/>
              </w:rPr>
              <w:t>)</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2285</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( 6745.6 )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( 7086.6 )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uk-ua" w:eastAsia="ru-ru"/>
              </w:rPr>
            </w:pPr>
            <w:r>
              <w:rPr>
                <w:rFonts w:ascii="Times New Roman" w:hAnsi="Times New Roman" w:eastAsia="Times New Roman"/>
                <w:b/>
                <w:color w:val="000000"/>
                <w:sz w:val="20"/>
                <w:szCs w:val="20"/>
                <w:lang w:eastAsia="ru-ru"/>
              </w:rPr>
              <w:t>Фінансовий результат до оподаткування (</w:t>
            </w:r>
            <w:r>
              <w:rPr>
                <w:rFonts w:ascii="Times New Roman" w:hAnsi="Times New Roman" w:eastAsia="Times New Roman"/>
                <w:b/>
                <w:color w:val="000000"/>
                <w:sz w:val="20"/>
                <w:szCs w:val="20"/>
                <w:lang w:val="en-us" w:eastAsia="ru-ru"/>
              </w:rPr>
              <w:t xml:space="preserve">2280 </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en-us" w:eastAsia="ru-ru"/>
              </w:rPr>
              <w:t>2285</w:t>
            </w:r>
            <w:r>
              <w:rPr>
                <w:rFonts w:ascii="Times New Roman" w:hAnsi="Times New Roman" w:eastAsia="Times New Roman"/>
                <w:b/>
                <w:color w:val="000000"/>
                <w:sz w:val="20"/>
                <w:szCs w:val="20"/>
                <w:lang w:eastAsia="ru-ru"/>
              </w:rPr>
              <w:t xml:space="preserve">) </w:t>
            </w:r>
            <w:r>
              <w:rPr>
                <w:rFonts w:ascii="Times New Roman" w:hAnsi="Times New Roman" w:eastAsia="Times New Roman"/>
                <w:b/>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2290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45.0</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127.5</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Податок на прибуток</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2300</w:t>
            </w:r>
            <w:r>
              <w:rPr>
                <w:rFonts w:ascii="Times New Roman" w:hAnsi="Times New Roman" w:eastAsia="Times New Roman"/>
                <w:sz w:val="20"/>
                <w:szCs w:val="20"/>
                <w:lang w:val="uk-ua" w:eastAsia="ru-ru"/>
              </w:rPr>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b/>
                <w:sz w:val="20"/>
                <w:szCs w:val="20"/>
                <w:lang w:val="uk-ua" w:eastAsia="ru-ru"/>
              </w:rPr>
              <w:t>Чистий прибуток (збиток) ( 2290 – 2300 )</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2350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45.0</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39"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127.5</w:t>
            </w:r>
            <w:r>
              <w:rPr>
                <w:rFonts w:ascii="Times New Roman" w:hAnsi="Times New Roman" w:eastAsia="Times New Roman"/>
                <w:sz w:val="20"/>
                <w:szCs w:val="20"/>
                <w:lang w:val="uk-ua" w:eastAsia="ru-ru"/>
              </w:rPr>
            </w:r>
          </w:p>
        </w:tc>
      </w:tr>
    </w:tbl>
    <w:p>
      <w:pPr>
        <w:spacing w:after="0" w:line="240" w:lineRule="auto"/>
        <w:jc w:val="both"/>
        <w:widowControl w:val="0"/>
        <w:rPr>
          <w:rFonts w:ascii="Arial Narrow" w:hAnsi="Arial Narrow" w:eastAsia="Times New Roman" w:cs="Arial Narrow"/>
          <w:sz w:val="20"/>
          <w:szCs w:val="20"/>
          <w:lang w:eastAsia="ru-ru"/>
        </w:rPr>
      </w:pPr>
      <w:r>
        <w:rPr>
          <w:rFonts w:ascii="Arial Narrow" w:hAnsi="Arial Narrow" w:eastAsia="Times New Roman" w:cs="Arial Narrow"/>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Зв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т про ф</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нансов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результати сформовано наростаючим п</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дсумком за 20202р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к.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НАНСОВ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РЕЗУЛЬТАТИ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Ряд.2000 Чистий дох</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 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 реал</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зац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продукц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(товар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 роб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т, послуг) склав 6774,5грн.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Ряд.2120 </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нш</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операц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йн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доходи - 16,1с.грн.</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Ряд.2050 Соб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варт</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сть реал</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зованої продукц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(товар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 роб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т, послуг) - 5270,8.грн.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Ряд.2180 </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нш</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операц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йн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витрати склали 1537,8 грн., з них: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Витрати на оплату прац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- 170ис.грн.;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драхування на соц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альн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заходи -69,0.;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Витрати на амортизацію - 0,3 тис. грн.</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Інші адміністративні витрати (юридичні, консультаційні та інші офісні) -1174,3 тис. грн.</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Ряд.2350 Чистий прибуток ПРАТ "Макіївський завод "Факел" у 2022 році склав 45,0 тис. грн.</w:t>
      </w:r>
    </w:p>
    <w:p>
      <w:pPr>
        <w:spacing w:after="0" w:line="240" w:lineRule="auto"/>
        <w:jc w:val="both"/>
        <w:widowControl w:val="0"/>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r>
    </w:p>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p>
    <w:tbl>
      <w:tblPr>
        <w:tblStyle w:val="NormalTable"/>
        <w:name w:val="Таблица55"/>
        <w:tabOrder w:val="0"/>
        <w:jc w:val="left"/>
        <w:tblInd w:w="0" w:type="dxa"/>
        <w:tblW w:w="10173" w:type="dxa"/>
        <w:tblLook w:val="01E0" w:firstRow="1" w:lastRow="1" w:firstColumn="1" w:lastColumn="1" w:noHBand="0" w:noVBand="0"/>
      </w:tblPr>
      <w:tblGrid>
        <w:gridCol w:w="2943"/>
        <w:gridCol w:w="2765"/>
        <w:gridCol w:w="4465"/>
      </w:tblGrid>
      <w:tr>
        <w:trPr>
          <w:cantSplit w:val="0"/>
          <w:trHeight w:val="0" w:hRule="auto"/>
        </w:trPr>
        <w:tc>
          <w:tcPr>
            <w:tcW w:w="2943"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Голова правління</w:t>
            </w:r>
          </w:p>
        </w:tc>
        <w:tc>
          <w:tcPr>
            <w:tcW w:w="2765" w:type="dxa"/>
            <w:vAlign w:val="center"/>
            <w:tmTcPr id="1759223739"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20"/>
                <w:szCs w:val="20"/>
                <w:lang w:val="en-us" w:eastAsia="ru-ru"/>
              </w:rPr>
              <w:t>________________</w:t>
            </w:r>
            <w:r>
              <w:rPr>
                <w:rFonts w:ascii="Times New Roman" w:hAnsi="Times New Roman" w:eastAsia="Times New Roman"/>
                <w:b/>
                <w:sz w:val="20"/>
                <w:szCs w:val="20"/>
                <w:lang w:val="en-us" w:eastAsia="ru-ru"/>
              </w:rPr>
            </w:r>
          </w:p>
        </w:tc>
        <w:tc>
          <w:tcPr>
            <w:tcW w:w="4465"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Горда Максим Сергiйович</w:t>
            </w:r>
          </w:p>
        </w:tc>
      </w:tr>
      <w:tr>
        <w:trPr>
          <w:cantSplit w:val="0"/>
          <w:trHeight w:val="0" w:hRule="auto"/>
        </w:trPr>
        <w:tc>
          <w:tcPr>
            <w:tcW w:w="2943"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39"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16"/>
                <w:szCs w:val="16"/>
                <w:lang w:val="en-us" w:eastAsia="ru-ru"/>
              </w:rPr>
              <w:t>(</w:t>
            </w:r>
            <w:r>
              <w:rPr>
                <w:rFonts w:ascii="Times New Roman" w:hAnsi="Times New Roman" w:eastAsia="Times New Roman"/>
                <w:b/>
                <w:color w:val="000000"/>
                <w:sz w:val="16"/>
                <w:szCs w:val="16"/>
                <w:lang w:eastAsia="ru-ru"/>
              </w:rPr>
              <w:t>підпис</w:t>
            </w:r>
            <w:r>
              <w:rPr>
                <w:rFonts w:ascii="Times New Roman" w:hAnsi="Times New Roman" w:eastAsia="Times New Roman"/>
                <w:b/>
                <w:color w:val="000000"/>
                <w:sz w:val="16"/>
                <w:szCs w:val="16"/>
                <w:lang w:val="en-us" w:eastAsia="ru-ru"/>
              </w:rPr>
              <w:t>)</w:t>
            </w:r>
            <w:r>
              <w:rPr>
                <w:rFonts w:ascii="Times New Roman" w:hAnsi="Times New Roman" w:eastAsia="Times New Roman"/>
                <w:b/>
                <w:sz w:val="20"/>
                <w:szCs w:val="20"/>
                <w:lang w:val="en-us" w:eastAsia="ru-ru"/>
              </w:rPr>
            </w:r>
          </w:p>
        </w:tc>
        <w:tc>
          <w:tcPr>
            <w:tcW w:w="4465"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r>
        <w:trPr>
          <w:cantSplit w:val="0"/>
          <w:trHeight w:val="0" w:hRule="auto"/>
        </w:trPr>
        <w:tc>
          <w:tcPr>
            <w:tcW w:w="2943"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39"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4465"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r>
        <w:trPr>
          <w:cantSplit w:val="0"/>
          <w:trHeight w:val="70" w:hRule="atLeast"/>
        </w:trPr>
        <w:tc>
          <w:tcPr>
            <w:tcW w:w="2943"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eastAsia="ru-ru"/>
              </w:rPr>
              <w:t>Головний бухгалтер</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uk-ua" w:eastAsia="ru-ru"/>
              </w:rPr>
              <w:t xml:space="preserve">   </w:t>
            </w:r>
            <w:r>
              <w:rPr>
                <w:rFonts w:ascii="Times New Roman" w:hAnsi="Times New Roman" w:eastAsia="Times New Roman"/>
                <w:b/>
                <w:sz w:val="20"/>
                <w:szCs w:val="20"/>
                <w:lang w:val="en-us" w:eastAsia="ru-ru"/>
              </w:rPr>
            </w:r>
          </w:p>
        </w:tc>
        <w:tc>
          <w:tcPr>
            <w:tcW w:w="2765" w:type="dxa"/>
            <w:vAlign w:val="center"/>
            <w:tmTcPr id="1759223739"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20"/>
                <w:szCs w:val="20"/>
                <w:lang w:val="en-us" w:eastAsia="ru-ru"/>
              </w:rPr>
              <w:t>________________</w:t>
            </w:r>
            <w:r>
              <w:rPr>
                <w:rFonts w:ascii="Times New Roman" w:hAnsi="Times New Roman" w:eastAsia="Times New Roman"/>
                <w:b/>
                <w:sz w:val="20"/>
                <w:szCs w:val="20"/>
                <w:lang w:val="en-us" w:eastAsia="ru-ru"/>
              </w:rPr>
            </w:r>
          </w:p>
        </w:tc>
        <w:tc>
          <w:tcPr>
            <w:tcW w:w="4465"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Демидова Юлія Олександрівна</w:t>
            </w:r>
          </w:p>
        </w:tc>
      </w:tr>
      <w:tr>
        <w:trPr>
          <w:cantSplit w:val="0"/>
          <w:trHeight w:val="0" w:hRule="auto"/>
        </w:trPr>
        <w:tc>
          <w:tcPr>
            <w:tcW w:w="2943"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39"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16"/>
                <w:szCs w:val="16"/>
                <w:lang w:val="en-us" w:eastAsia="ru-ru"/>
              </w:rPr>
              <w:t>(</w:t>
            </w:r>
            <w:r>
              <w:rPr>
                <w:rFonts w:ascii="Times New Roman" w:hAnsi="Times New Roman" w:eastAsia="Times New Roman"/>
                <w:b/>
                <w:color w:val="000000"/>
                <w:sz w:val="16"/>
                <w:szCs w:val="16"/>
                <w:lang w:eastAsia="ru-ru"/>
              </w:rPr>
              <w:t>підпис</w:t>
            </w:r>
            <w:r>
              <w:rPr>
                <w:rFonts w:ascii="Times New Roman" w:hAnsi="Times New Roman" w:eastAsia="Times New Roman"/>
                <w:b/>
                <w:color w:val="000000"/>
                <w:sz w:val="16"/>
                <w:szCs w:val="16"/>
                <w:lang w:val="en-us" w:eastAsia="ru-ru"/>
              </w:rPr>
              <w:t>)</w:t>
            </w:r>
            <w:r>
              <w:rPr>
                <w:rFonts w:ascii="Times New Roman" w:hAnsi="Times New Roman" w:eastAsia="Times New Roman"/>
                <w:b/>
                <w:sz w:val="20"/>
                <w:szCs w:val="20"/>
                <w:lang w:val="en-us" w:eastAsia="ru-ru"/>
              </w:rPr>
            </w:r>
          </w:p>
        </w:tc>
        <w:tc>
          <w:tcPr>
            <w:tcW w:w="4465" w:type="dxa"/>
            <w:tmTcPr id="1759223739"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bl>
    <w:p>
      <w:pPr>
        <w:ind w:firstLine="567"/>
        <w:spacing w:after="0" w:line="240" w:lineRule="auto"/>
        <w:widowControl w:val="0"/>
        <w:rPr>
          <w:rFonts w:ascii="Arial Narrow" w:hAnsi="Arial Narrow" w:eastAsia="Times New Roman" w:cs="Arial Narrow"/>
          <w:lang w:eastAsia="ru-ru"/>
        </w:rPr>
      </w:pPr>
      <w:r>
        <w:rPr>
          <w:rFonts w:ascii="Arial Narrow" w:hAnsi="Arial Narrow" w:eastAsia="Times New Roman" w:cs="Arial Narrow"/>
          <w:lang w:eastAsia="ru-ru"/>
        </w:rPr>
      </w:r>
    </w:p>
    <w:p>
      <w:r/>
    </w:p>
    <w:sectPr>
      <w:footnotePr>
        <w:pos w:val="pageBottom"/>
        <w:numFmt w:val="decimal"/>
        <w:numStart w:val="1"/>
        <w:numRestart w:val="continuous"/>
      </w:footnotePr>
      <w:endnotePr>
        <w:pos w:val="docEnd"/>
        <w:numFmt w:val="lowerRoman"/>
        <w:numStart w:val="1"/>
        <w:numRestart w:val="continuous"/>
      </w:endnotePr>
      <w:headerReference w:type="default" r:id="rId38"/>
      <w:footerReference w:type="default" r:id="rId39"/>
      <w:type w:val="nextPage"/>
      <w:pgSz w:h="16838" w:w="11906"/>
      <w:pgMar w:left="1417" w:top="363" w:right="567" w:bottom="363" w:header="708" w:footer="708"/>
      <w:paperSrc w:first="0" w:other="0" a="0" b="0"/>
      <w:pgNumType w:fmt="decimal"/>
      <w:tmGutter w:val="3"/>
      <w:mirrorMargins w:val="0"/>
      <w:tmSection w:h="-2">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libri Light">
    <w:panose1 w:val="020F0302020204030204"/>
    <w:charset w:val="cc"/>
    <w:family w:val="swiss"/>
    <w:pitch w:val="default"/>
  </w:font>
  <w:font w:name="HeliosCond">
    <w:panose1 w:val="020B0604020202020204"/>
    <w:charset w:val="00"/>
    <w:family w:val="auto"/>
    <w:pitch w:val="default"/>
  </w:font>
  <w:font w:name="Pragmatica-Bold">
    <w:panose1 w:val="020B0604020202020204"/>
    <w:charset w:val="00"/>
    <w:family w:val="auto"/>
    <w:pitch w:val="default"/>
  </w:font>
  <w:font w:name="Pragmatica-Book">
    <w:panose1 w:val="020B0604020202020204"/>
    <w:charset w:val="00"/>
    <w:family w:val="auto"/>
    <w:pitch w:val="default"/>
  </w:font>
  <w:font w:name="Arial Narrow">
    <w:panose1 w:val="020B0606020202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66" behindDoc="0" locked="0" layoutInCell="0" hidden="0" allowOverlap="1">
              <wp:simplePos x="0" y="0"/>
              <wp:positionH relativeFrom="margin">
                <wp:align>right</wp:align>
              </wp:positionH>
              <wp:positionV relativeFrom="paragraph">
                <wp:posOffset>635</wp:posOffset>
              </wp:positionV>
              <wp:extent cx="114300" cy="170815"/>
              <wp:effectExtent l="0" t="0" r="0" b="0"/>
              <wp:wrapSquare wrapText="bothSides"/>
              <wp:docPr id="1026" name="Текстовое поле 32"/>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Hj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C0AAAADQEAAAAAAACXKwAA9T0AACgAAAAIAAAAAgAAAAIAAAAwAAAAFAAAAAAAAAAAAP//AAABAAAA//8AAAEA"/>
                        </a:ext>
                      </a:extLst>
                    </wps:cNvSpPr>
                    <wps:spPr>
                      <a:xfrm>
                        <a:off x="0" y="0"/>
                        <a:ext cx="11430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2" o:spid="_x0000_s3073" type="#_x0000_t202" style="position:absolute;mso-position-horizontal:right;margin-top:0.05pt;mso-position-horizontal-relative:margin;width:9.00pt;height:13.45pt;z-index:251659266;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Hj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C0AAAADQEAAAAAAACX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w:t>
                      <w:fldChar w:fldCharType="end"/>
                    </w:r>
                    <w:r>
                      <w:rPr>
                        <w:rStyle w:val="char18"/>
                      </w:rPr>
                    </w:r>
                  </w:p>
                </w:txbxContent>
              </v:textbox>
            </v:shape>
          </w:pict>
        </mc:Fallback>
      </mc:AlternateConten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4" name="Текстовое поле 14"/>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43</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4" o:spid="_x0000_s21505" type="#_x0000_t202" style="position:absolute;mso-position-horizontal:right;margin-top:0.05pt;mso-position-horizontal-relative:margin;width:11.20pt;height:13.45pt;z-index:251659284;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43</w:t>
                      <w:fldChar w:fldCharType="end"/>
                    </w:r>
                    <w:r>
                      <w:rPr>
                        <w:rStyle w:val="char18"/>
                      </w:rPr>
                    </w:r>
                  </w:p>
                </w:txbxContent>
              </v:textbox>
            </v:shape>
          </w:pict>
        </mc:Fallback>
      </mc:AlternateContent>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6" name="Текстовое поле 12"/>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2" o:spid="_x0000_s23553" type="#_x0000_t202" style="position:absolute;mso-position-horizontal:right;margin-top:0.05pt;mso-position-horizontal-relative:margin;width:11.20pt;height:13.45pt;z-index:251659286;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44</w:t>
                      <w:fldChar w:fldCharType="end"/>
                    </w:r>
                    <w:r>
                      <w:rPr>
                        <w:rStyle w:val="char18"/>
                      </w:rPr>
                    </w:r>
                  </w:p>
                </w:txbxContent>
              </v:textbox>
            </v:shape>
          </w:pict>
        </mc:Fallback>
      </mc:AlternateContent>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8" name="Текстовое поле 10"/>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wBrKwAA9j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47</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0" o:spid="_x0000_s25601" type="#_x0000_t202" style="position:absolute;mso-position-horizontal:right;margin-top:0.05pt;mso-position-horizontal-relative:margin;width:11.20pt;height:13.45pt;z-index:251659288;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wBrKwAA9j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47</w:t>
                      <w:fldChar w:fldCharType="end"/>
                    </w:r>
                    <w:r>
                      <w:rPr>
                        <w:rStyle w:val="char18"/>
                      </w:rPr>
                    </w:r>
                  </w:p>
                </w:txbxContent>
              </v:textbox>
            </v:shape>
          </w:pict>
        </mc:Fallback>
      </mc:AlternateContent>
    </w: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0" name="Текстовое поле 8"/>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48</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8" o:spid="_x0000_s27649" type="#_x0000_t202" style="position:absolute;mso-position-horizontal:right;margin-top:0.05pt;mso-position-horizontal-relative:margin;width:11.20pt;height:13.45pt;z-index:251659290;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48</w:t>
                      <w:fldChar w:fldCharType="end"/>
                    </w:r>
                    <w:r>
                      <w:rPr>
                        <w:rStyle w:val="char18"/>
                      </w:rPr>
                    </w:r>
                  </w:p>
                </w:txbxContent>
              </v:textbox>
            </v:shape>
          </w:pict>
        </mc:Fallback>
      </mc:AlternateContent>
    </w: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2" name="Текстовое поле 6"/>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6" o:spid="_x0000_s29697" type="#_x0000_t202" style="position:absolute;mso-position-horizontal:right;margin-top:0.05pt;mso-position-horizontal-relative:margin;width:11.20pt;height:13.45pt;z-index:251659292;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51</w:t>
                      <w:fldChar w:fldCharType="end"/>
                    </w:r>
                    <w:r>
                      <w:rPr>
                        <w:rStyle w:val="char18"/>
                      </w:rPr>
                    </w:r>
                  </w:p>
                </w:txbxContent>
              </v:textbox>
            </v:shape>
          </w:pict>
        </mc:Fallback>
      </mc:AlternateContent>
    </w: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4" name="Текстовое поле 4"/>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4" o:spid="_x0000_s31745" type="#_x0000_t202" style="position:absolute;mso-position-horizontal:right;margin-top:0.05pt;mso-position-horizontal-relative:margin;width:11.20pt;height:13.45pt;z-index:251659294;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54</w:t>
                      <w:fldChar w:fldCharType="end"/>
                    </w:r>
                    <w:r>
                      <w:rPr>
                        <w:rStyle w:val="char18"/>
                      </w:rPr>
                    </w:r>
                  </w:p>
                </w:txbxContent>
              </v:textbox>
            </v:shape>
          </w:pict>
        </mc:Fallback>
      </mc:AlternateContent>
    </w: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6" name="Текстовое поле 2"/>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wBrKwAA9j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57</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 o:spid="_x0000_s33793" type="#_x0000_t202" style="position:absolute;mso-position-horizontal:right;margin-top:0.05pt;mso-position-horizontal-relative:margin;width:11.20pt;height:13.45pt;z-index:251659296;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wBrKwAA9j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57</w:t>
                      <w:fldChar w:fldCharType="end"/>
                    </w:r>
                    <w:r>
                      <w:rPr>
                        <w:rStyle w:val="char18"/>
                      </w:rP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6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28" name="Текстовое поле 30"/>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0" o:spid="_x0000_s5121" type="#_x0000_t202" style="position:absolute;mso-position-horizontal:right;margin-top:0.05pt;mso-position-horizontal-relative:margin;width:11.20pt;height:13.45pt;z-index:251659268;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10</w:t>
                      <w:fldChar w:fldCharType="end"/>
                    </w:r>
                    <w:r>
                      <w:rPr>
                        <w:rStyle w:val="char18"/>
                      </w:rP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0" name="Текстовое поле 28"/>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8" o:spid="_x0000_s7169" type="#_x0000_t202" style="position:absolute;mso-position-horizontal:right;margin-top:0.05pt;mso-position-horizontal-relative:margin;width:11.20pt;height:13.45pt;z-index:251659270;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14</w:t>
                      <w:fldChar w:fldCharType="end"/>
                    </w:r>
                    <w:r>
                      <w:rPr>
                        <w:rStyle w:val="char18"/>
                      </w:rP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2" name="Текстовое поле 26"/>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w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6" o:spid="_x0000_s9217" type="#_x0000_t202" style="position:absolute;mso-position-horizontal:right;margin-top:0.05pt;mso-position-horizontal-relative:margin;width:11.20pt;height:13.45pt;z-index:251659272;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w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21</w:t>
                      <w:fldChar w:fldCharType="end"/>
                    </w:r>
                    <w:r>
                      <w:rPr>
                        <w:rStyle w:val="char18"/>
                      </w:rPr>
                    </w:r>
                  </w:p>
                </w:txbxContent>
              </v:textbox>
            </v:shape>
          </w:pict>
        </mc:Fallback>
      </mc:AlternateConten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4" name="Текстовое поле 24"/>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22</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4" o:spid="_x0000_s11265" type="#_x0000_t202" style="position:absolute;mso-position-horizontal:right;margin-top:0.05pt;mso-position-horizontal-relative:margin;width:11.20pt;height:13.45pt;z-index:251659274;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22</w:t>
                      <w:fldChar w:fldCharType="end"/>
                    </w:r>
                    <w:r>
                      <w:rPr>
                        <w:rStyle w:val="char18"/>
                      </w:rPr>
                    </w:r>
                  </w:p>
                </w:txbxContent>
              </v:textbox>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6" name="Текстовое поле 22"/>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2" o:spid="_x0000_s13313" type="#_x0000_t202" style="position:absolute;mso-position-horizontal:right;margin-top:0.05pt;mso-position-horizontal-relative:margin;width:11.20pt;height:13.45pt;z-index:251659276;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24</w:t>
                      <w:fldChar w:fldCharType="end"/>
                    </w:r>
                    <w:r>
                      <w:rPr>
                        <w:rStyle w:val="char18"/>
                      </w:rPr>
                    </w:r>
                  </w:p>
                </w:txbxContent>
              </v:textbox>
            </v:shape>
          </w:pict>
        </mc:Fallback>
      </mc:AlternateConten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8" name="Текстовое поле 20"/>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30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0" o:spid="_x0000_s15361" type="#_x0000_t202" style="position:absolute;mso-position-horizontal:right;margin-top:0.05pt;mso-position-horizontal-relative:margin;width:11.20pt;height:13.45pt;z-index:251659278;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30</w:t>
                      <w:fldChar w:fldCharType="end"/>
                    </w:r>
                    <w:r>
                      <w:rPr>
                        <w:rStyle w:val="char18"/>
                      </w:rPr>
                    </w:r>
                  </w:p>
                </w:txbxContent>
              </v:textbox>
            </v:shape>
          </w:pict>
        </mc:Fallback>
      </mc:AlternateConten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0" name="Текстовое поле 18"/>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w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8" o:spid="_x0000_s17409" type="#_x0000_t202" style="position:absolute;mso-position-horizontal:right;margin-top:0.05pt;mso-position-horizontal-relative:margin;width:11.20pt;height:13.45pt;z-index:251659280;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w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40</w:t>
                      <w:fldChar w:fldCharType="end"/>
                    </w:r>
                    <w:r>
                      <w:rPr>
                        <w:rStyle w:val="char18"/>
                      </w:rPr>
                    </w:r>
                  </w:p>
                </w:txbxContent>
              </v:textbox>
            </v:shape>
          </w:pict>
        </mc:Fallback>
      </mc:AlternateContent>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2" name="Текстовое поле 16"/>
              <wp:cNvGraphicFramePr/>
              <a:graphic xmlns:a="http://schemas.openxmlformats.org/drawingml/2006/main">
                <a:graphicData uri="http://schemas.microsoft.com/office/word/2010/wordprocessingShape">
                  <wps:wsp>
                    <wps:cNvSpPr txBox="1">
                      <a:extLst>
                        <a:ext uri="smNativeData">
                          <sm:smNativeData xmlns:sm="smNativeData" val="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6" o:spid="_x0000_s19457" type="#_x0000_t202" style="position:absolute;mso-position-horizontal:right;margin-top:0.05pt;mso-position-horizontal-relative:margin;width:11.20pt;height:13.45pt;z-index:251659282;mso-wrap-distance-left:0.00pt;mso-wrap-distance-top:0.00pt;mso-wrap-distance-right:0.00pt;mso-wrap-distance-bottom:0.00pt;mso-wrap-style:none" stroked="f" filled="f" v:ext="SMDATA_16_u5/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41</w:t>
                      <w:fldChar w:fldCharType="end"/>
                    </w:r>
                    <w:r>
                      <w:rPr>
                        <w:rStyle w:val="char18"/>
                      </w:rPr>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3794"/>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8"/>
    <w:tmLastPosCaret>
      <w:tmLastPosPgfIdx w:val="0"/>
      <w:tmLastPosIdx w:val="2"/>
    </w:tmLastPosCaret>
    <w:tmLastPosAnchor>
      <w:tmLastPosPgfIdx w:val="0"/>
      <w:tmLastPosIdx w:val="0"/>
    </w:tmLastPosAnchor>
    <w:tmLastPosTblRect w:left="0" w:top="0" w:right="0" w:bottom="0"/>
  </w:tmLastPos>
  <w:tmAppRevision w:date="1759223739" w:val="1024" w:fileVer="342"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i/>
      <w:iCs/>
      <w:color w:val="2f5496"/>
    </w:rPr>
  </w:style>
  <w:style w:type="paragraph" w:styleId="para5">
    <w:name w:val="heading 5"/>
    <w:qFormat/>
    <w:basedOn w:val="para0"/>
    <w:next w:val="para0"/>
    <w:pPr>
      <w:spacing w:before="80" w:after="40"/>
      <w:keepNext/>
      <w:outlineLvl w:val="4"/>
      <w:keepLines/>
    </w:pPr>
    <w:rPr>
      <w:rFonts w:eastAsia="Calibri Light"/>
      <w:color w:val="2f5496"/>
    </w:rPr>
  </w:style>
  <w:style w:type="paragraph" w:styleId="para6">
    <w:name w:val="heading 6"/>
    <w:qFormat/>
    <w:basedOn w:val="para0"/>
    <w:next w:val="para0"/>
    <w:pPr>
      <w:spacing w:before="40" w:after="0"/>
      <w:keepNext/>
      <w:outlineLvl w:val="5"/>
      <w:keepLines/>
    </w:pPr>
    <w:rPr>
      <w:rFonts w:eastAsia="Calibri Light"/>
      <w:i/>
      <w:iCs/>
      <w:color w:val="595959"/>
    </w:rPr>
  </w:style>
  <w:style w:type="paragraph" w:styleId="para7">
    <w:name w:val="heading 7"/>
    <w:qFormat/>
    <w:basedOn w:val="para0"/>
    <w:next w:val="para0"/>
    <w:pPr>
      <w:spacing w:before="40" w:after="0"/>
      <w:keepNext/>
      <w:outlineLvl w:val="6"/>
      <w:keepLines/>
    </w:pPr>
    <w:rPr>
      <w:rFonts w:eastAsia="Calibri Light"/>
      <w:color w:val="595959"/>
    </w:rPr>
  </w:style>
  <w:style w:type="paragraph" w:styleId="para8">
    <w:name w:val="heading 8"/>
    <w:qFormat/>
    <w:basedOn w:val="para0"/>
    <w:next w:val="para0"/>
    <w:pPr>
      <w:spacing w:after="0"/>
      <w:keepNext/>
      <w:outlineLvl w:val="7"/>
      <w:keepLines/>
    </w:pPr>
    <w:rPr>
      <w:rFonts w:eastAsia="Calibri Light"/>
      <w:i/>
      <w:iCs/>
      <w:color w:val="272727"/>
    </w:rPr>
  </w:style>
  <w:style w:type="paragraph" w:styleId="para9">
    <w:name w:val="heading 9"/>
    <w:qFormat/>
    <w:basedOn w:val="para0"/>
    <w:next w:val="para0"/>
    <w:pPr>
      <w:spacing w:after="0"/>
      <w:keepNext/>
      <w:outlineLvl w:val="8"/>
      <w:keepLines/>
    </w:pPr>
    <w:rPr>
      <w:rFonts w:eastAsia="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spacing w:val="-9"/>
      <w:sz w:val="56"/>
      <w:szCs w:val="56"/>
    </w:rPr>
  </w:style>
  <w:style w:type="paragraph" w:styleId="para11">
    <w:name w:val="Subtitle"/>
    <w:qFormat/>
    <w:basedOn w:val="para0"/>
    <w:next w:val="para0"/>
    <w:rPr>
      <w:rFonts w:eastAsia="Calibri Light"/>
      <w:color w:val="595959"/>
      <w:spacing w:val="15"/>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Header"/>
    <w:qFormat/>
    <w:basedOn w:val="para0"/>
    <w:pPr>
      <w:spacing w:after="0" w:line="240" w:lineRule="auto"/>
      <w:tabs defTabSz="708">
        <w:tab w:val="center" w:pos="4677" w:leader="none"/>
        <w:tab w:val="right" w:pos="9355" w:leader="none"/>
      </w:tabs>
    </w:pPr>
  </w:style>
  <w:style w:type="paragraph" w:styleId="para16">
    <w:name w:val="Footer"/>
    <w:qFormat/>
    <w:basedOn w:val="para0"/>
    <w:pPr>
      <w:spacing w:after="0" w:line="240" w:lineRule="auto"/>
      <w:tabs defTabSz="708">
        <w:tab w:val="center" w:pos="4677" w:leader="none"/>
        <w:tab w:val="right" w:pos="9355" w:leader="none"/>
      </w:tabs>
    </w:pPr>
  </w:style>
  <w:style w:type="paragraph" w:styleId="para17">
    <w:name w:val="toc 1"/>
    <w:qFormat/>
    <w:basedOn w:val="para0"/>
    <w:next w:val="para0"/>
    <w:pPr>
      <w:spacing w:after="100"/>
    </w:pPr>
  </w:style>
  <w:style w:type="character" w:styleId="char0" w:default="1">
    <w:name w:val="Default Paragraph Font"/>
  </w:style>
  <w:style w:type="character" w:styleId="char1" w:customStyle="1">
    <w:name w:val="Заголовок 1 Знак"/>
    <w:basedOn w:val="char0"/>
    <w:rPr>
      <w:rFonts w:ascii="Calibri Light" w:hAnsi="Calibri Light" w:eastAsia="Calibri Light"/>
      <w:color w:val="2f5496"/>
      <w:sz w:val="40"/>
      <w:szCs w:val="40"/>
    </w:rPr>
  </w:style>
  <w:style w:type="character" w:styleId="char2" w:customStyle="1">
    <w:name w:val="Заголовок 2 Знак"/>
    <w:basedOn w:val="char0"/>
    <w:rPr>
      <w:rFonts w:ascii="Calibri Light" w:hAnsi="Calibri Light" w:eastAsia="Calibri Light"/>
      <w:color w:val="2f5496"/>
      <w:sz w:val="32"/>
      <w:szCs w:val="32"/>
    </w:rPr>
  </w:style>
  <w:style w:type="character" w:styleId="char3" w:customStyle="1">
    <w:name w:val="Заголовок 3 Знак"/>
    <w:basedOn w:val="char0"/>
    <w:rPr>
      <w:rFonts w:eastAsia="Calibri Light"/>
      <w:color w:val="2f5496"/>
      <w:sz w:val="28"/>
      <w:szCs w:val="28"/>
    </w:rPr>
  </w:style>
  <w:style w:type="character" w:styleId="char4" w:customStyle="1">
    <w:name w:val="Заголовок 4 Знак"/>
    <w:basedOn w:val="char0"/>
    <w:rPr>
      <w:rFonts w:eastAsia="Calibri Light"/>
      <w:i/>
      <w:iCs/>
      <w:color w:val="2f5496"/>
    </w:rPr>
  </w:style>
  <w:style w:type="character" w:styleId="char5" w:customStyle="1">
    <w:name w:val="Заголовок 5 Знак"/>
    <w:basedOn w:val="char0"/>
    <w:rPr>
      <w:rFonts w:eastAsia="Calibri Light"/>
      <w:color w:val="2f5496"/>
    </w:rPr>
  </w:style>
  <w:style w:type="character" w:styleId="char6" w:customStyle="1">
    <w:name w:val="Заголовок 6 Знак"/>
    <w:basedOn w:val="char0"/>
    <w:rPr>
      <w:rFonts w:eastAsia="Calibri Light"/>
      <w:i/>
      <w:iCs/>
      <w:color w:val="595959"/>
    </w:rPr>
  </w:style>
  <w:style w:type="character" w:styleId="char7" w:customStyle="1">
    <w:name w:val="Заголовок 7 Знак"/>
    <w:basedOn w:val="char0"/>
    <w:rPr>
      <w:rFonts w:eastAsia="Calibri Light"/>
      <w:color w:val="595959"/>
    </w:rPr>
  </w:style>
  <w:style w:type="character" w:styleId="char8" w:customStyle="1">
    <w:name w:val="Заголовок 8 Знак"/>
    <w:basedOn w:val="char0"/>
    <w:rPr>
      <w:rFonts w:eastAsia="Calibri Light"/>
      <w:i/>
      <w:iCs/>
      <w:color w:val="272727"/>
    </w:rPr>
  </w:style>
  <w:style w:type="character" w:styleId="char9" w:customStyle="1">
    <w:name w:val="Заголовок 9 Знак"/>
    <w:basedOn w:val="char0"/>
    <w:rPr>
      <w:rFonts w:eastAsia="Calibri Light"/>
      <w:color w:val="272727"/>
    </w:rPr>
  </w:style>
  <w:style w:type="character" w:styleId="char10" w:customStyle="1">
    <w:name w:val="Заголовок Знак"/>
    <w:basedOn w:val="char0"/>
    <w:rPr>
      <w:rFonts w:ascii="Calibri Light" w:hAnsi="Calibri Light" w:eastAsia="Calibri Light"/>
      <w:spacing w:val="-9"/>
      <w:kern w:val="1"/>
      <w:sz w:val="56"/>
      <w:szCs w:val="56"/>
    </w:rPr>
  </w:style>
  <w:style w:type="character" w:styleId="char11" w:customStyle="1">
    <w:name w:val="Подзаголовок Знак"/>
    <w:basedOn w:val="char0"/>
    <w:rPr>
      <w:rFonts w:eastAsia="Calibri Light"/>
      <w:color w:val="595959"/>
      <w:spacing w:val="15"/>
      <w:sz w:val="28"/>
      <w:szCs w:val="28"/>
    </w:rPr>
  </w:style>
  <w:style w:type="character" w:styleId="char12" w:customStyle="1">
    <w:name w:val="Цитата 2 Знак"/>
    <w:basedOn w:val="char0"/>
    <w:rPr>
      <w:i/>
      <w:iCs/>
      <w:color w:val="404040"/>
    </w:rPr>
  </w:style>
  <w:style w:type="character" w:styleId="char13">
    <w:name w:val="Intense Emphasis"/>
    <w:basedOn w:val="char0"/>
    <w:rPr>
      <w:i/>
      <w:iCs/>
      <w:color w:val="2f5496"/>
    </w:rPr>
  </w:style>
  <w:style w:type="character" w:styleId="char14" w:customStyle="1">
    <w:name w:val="Выделенная цитата Знак"/>
    <w:basedOn w:val="char0"/>
    <w:rPr>
      <w:i/>
      <w:iCs/>
      <w:color w:val="2f5496"/>
    </w:rPr>
  </w:style>
  <w:style w:type="character" w:styleId="char15">
    <w:name w:val="Intense Reference"/>
    <w:basedOn w:val="char0"/>
    <w:rPr>
      <w:b/>
      <w:bCs/>
      <w:smallCaps/>
      <w:color w:val="2f5496"/>
      <w:spacing w:val="5"/>
    </w:rPr>
  </w:style>
  <w:style w:type="character" w:styleId="char16" w:customStyle="1">
    <w:name w:val="Верхний колонтитул Знак"/>
    <w:basedOn w:val="char0"/>
  </w:style>
  <w:style w:type="character" w:styleId="char17" w:customStyle="1">
    <w:name w:val="Нижний колонтитул Знак"/>
    <w:basedOn w:val="char0"/>
  </w:style>
  <w:style w:type="character" w:styleId="char18">
    <w:name w:val="Page Number"/>
    <w:basedOn w:val="char0"/>
  </w:style>
  <w:style w:type="character" w:styleId="char19">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kern w:val="1"/>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i/>
      <w:iCs/>
      <w:color w:val="2f5496"/>
    </w:rPr>
  </w:style>
  <w:style w:type="paragraph" w:styleId="para5">
    <w:name w:val="heading 5"/>
    <w:qFormat/>
    <w:basedOn w:val="para0"/>
    <w:next w:val="para0"/>
    <w:pPr>
      <w:spacing w:before="80" w:after="40"/>
      <w:keepNext/>
      <w:outlineLvl w:val="4"/>
      <w:keepLines/>
    </w:pPr>
    <w:rPr>
      <w:rFonts w:eastAsia="Calibri Light"/>
      <w:color w:val="2f5496"/>
    </w:rPr>
  </w:style>
  <w:style w:type="paragraph" w:styleId="para6">
    <w:name w:val="heading 6"/>
    <w:qFormat/>
    <w:basedOn w:val="para0"/>
    <w:next w:val="para0"/>
    <w:pPr>
      <w:spacing w:before="40" w:after="0"/>
      <w:keepNext/>
      <w:outlineLvl w:val="5"/>
      <w:keepLines/>
    </w:pPr>
    <w:rPr>
      <w:rFonts w:eastAsia="Calibri Light"/>
      <w:i/>
      <w:iCs/>
      <w:color w:val="595959"/>
    </w:rPr>
  </w:style>
  <w:style w:type="paragraph" w:styleId="para7">
    <w:name w:val="heading 7"/>
    <w:qFormat/>
    <w:basedOn w:val="para0"/>
    <w:next w:val="para0"/>
    <w:pPr>
      <w:spacing w:before="40" w:after="0"/>
      <w:keepNext/>
      <w:outlineLvl w:val="6"/>
      <w:keepLines/>
    </w:pPr>
    <w:rPr>
      <w:rFonts w:eastAsia="Calibri Light"/>
      <w:color w:val="595959"/>
    </w:rPr>
  </w:style>
  <w:style w:type="paragraph" w:styleId="para8">
    <w:name w:val="heading 8"/>
    <w:qFormat/>
    <w:basedOn w:val="para0"/>
    <w:next w:val="para0"/>
    <w:pPr>
      <w:spacing w:after="0"/>
      <w:keepNext/>
      <w:outlineLvl w:val="7"/>
      <w:keepLines/>
    </w:pPr>
    <w:rPr>
      <w:rFonts w:eastAsia="Calibri Light"/>
      <w:i/>
      <w:iCs/>
      <w:color w:val="272727"/>
    </w:rPr>
  </w:style>
  <w:style w:type="paragraph" w:styleId="para9">
    <w:name w:val="heading 9"/>
    <w:qFormat/>
    <w:basedOn w:val="para0"/>
    <w:next w:val="para0"/>
    <w:pPr>
      <w:spacing w:after="0"/>
      <w:keepNext/>
      <w:outlineLvl w:val="8"/>
      <w:keepLines/>
    </w:pPr>
    <w:rPr>
      <w:rFonts w:eastAsia="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spacing w:val="-9"/>
      <w:sz w:val="56"/>
      <w:szCs w:val="56"/>
    </w:rPr>
  </w:style>
  <w:style w:type="paragraph" w:styleId="para11">
    <w:name w:val="Subtitle"/>
    <w:qFormat/>
    <w:basedOn w:val="para0"/>
    <w:next w:val="para0"/>
    <w:rPr>
      <w:rFonts w:eastAsia="Calibri Light"/>
      <w:color w:val="595959"/>
      <w:spacing w:val="15"/>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Header"/>
    <w:qFormat/>
    <w:basedOn w:val="para0"/>
    <w:pPr>
      <w:spacing w:after="0" w:line="240" w:lineRule="auto"/>
      <w:tabs defTabSz="708">
        <w:tab w:val="center" w:pos="4677" w:leader="none"/>
        <w:tab w:val="right" w:pos="9355" w:leader="none"/>
      </w:tabs>
    </w:pPr>
  </w:style>
  <w:style w:type="paragraph" w:styleId="para16">
    <w:name w:val="Footer"/>
    <w:qFormat/>
    <w:basedOn w:val="para0"/>
    <w:pPr>
      <w:spacing w:after="0" w:line="240" w:lineRule="auto"/>
      <w:tabs defTabSz="708">
        <w:tab w:val="center" w:pos="4677" w:leader="none"/>
        <w:tab w:val="right" w:pos="9355" w:leader="none"/>
      </w:tabs>
    </w:pPr>
  </w:style>
  <w:style w:type="paragraph" w:styleId="para17">
    <w:name w:val="toc 1"/>
    <w:qFormat/>
    <w:basedOn w:val="para0"/>
    <w:next w:val="para0"/>
    <w:pPr>
      <w:spacing w:after="100"/>
    </w:pPr>
  </w:style>
  <w:style w:type="character" w:styleId="char0" w:default="1">
    <w:name w:val="Default Paragraph Font"/>
  </w:style>
  <w:style w:type="character" w:styleId="char1" w:customStyle="1">
    <w:name w:val="Заголовок 1 Знак"/>
    <w:basedOn w:val="char0"/>
    <w:rPr>
      <w:rFonts w:ascii="Calibri Light" w:hAnsi="Calibri Light" w:eastAsia="Calibri Light"/>
      <w:color w:val="2f5496"/>
      <w:sz w:val="40"/>
      <w:szCs w:val="40"/>
    </w:rPr>
  </w:style>
  <w:style w:type="character" w:styleId="char2" w:customStyle="1">
    <w:name w:val="Заголовок 2 Знак"/>
    <w:basedOn w:val="char0"/>
    <w:rPr>
      <w:rFonts w:ascii="Calibri Light" w:hAnsi="Calibri Light" w:eastAsia="Calibri Light"/>
      <w:color w:val="2f5496"/>
      <w:sz w:val="32"/>
      <w:szCs w:val="32"/>
    </w:rPr>
  </w:style>
  <w:style w:type="character" w:styleId="char3" w:customStyle="1">
    <w:name w:val="Заголовок 3 Знак"/>
    <w:basedOn w:val="char0"/>
    <w:rPr>
      <w:rFonts w:eastAsia="Calibri Light"/>
      <w:color w:val="2f5496"/>
      <w:sz w:val="28"/>
      <w:szCs w:val="28"/>
    </w:rPr>
  </w:style>
  <w:style w:type="character" w:styleId="char4" w:customStyle="1">
    <w:name w:val="Заголовок 4 Знак"/>
    <w:basedOn w:val="char0"/>
    <w:rPr>
      <w:rFonts w:eastAsia="Calibri Light"/>
      <w:i/>
      <w:iCs/>
      <w:color w:val="2f5496"/>
    </w:rPr>
  </w:style>
  <w:style w:type="character" w:styleId="char5" w:customStyle="1">
    <w:name w:val="Заголовок 5 Знак"/>
    <w:basedOn w:val="char0"/>
    <w:rPr>
      <w:rFonts w:eastAsia="Calibri Light"/>
      <w:color w:val="2f5496"/>
    </w:rPr>
  </w:style>
  <w:style w:type="character" w:styleId="char6" w:customStyle="1">
    <w:name w:val="Заголовок 6 Знак"/>
    <w:basedOn w:val="char0"/>
    <w:rPr>
      <w:rFonts w:eastAsia="Calibri Light"/>
      <w:i/>
      <w:iCs/>
      <w:color w:val="595959"/>
    </w:rPr>
  </w:style>
  <w:style w:type="character" w:styleId="char7" w:customStyle="1">
    <w:name w:val="Заголовок 7 Знак"/>
    <w:basedOn w:val="char0"/>
    <w:rPr>
      <w:rFonts w:eastAsia="Calibri Light"/>
      <w:color w:val="595959"/>
    </w:rPr>
  </w:style>
  <w:style w:type="character" w:styleId="char8" w:customStyle="1">
    <w:name w:val="Заголовок 8 Знак"/>
    <w:basedOn w:val="char0"/>
    <w:rPr>
      <w:rFonts w:eastAsia="Calibri Light"/>
      <w:i/>
      <w:iCs/>
      <w:color w:val="272727"/>
    </w:rPr>
  </w:style>
  <w:style w:type="character" w:styleId="char9" w:customStyle="1">
    <w:name w:val="Заголовок 9 Знак"/>
    <w:basedOn w:val="char0"/>
    <w:rPr>
      <w:rFonts w:eastAsia="Calibri Light"/>
      <w:color w:val="272727"/>
    </w:rPr>
  </w:style>
  <w:style w:type="character" w:styleId="char10" w:customStyle="1">
    <w:name w:val="Заголовок Знак"/>
    <w:basedOn w:val="char0"/>
    <w:rPr>
      <w:rFonts w:ascii="Calibri Light" w:hAnsi="Calibri Light" w:eastAsia="Calibri Light"/>
      <w:spacing w:val="-9"/>
      <w:kern w:val="1"/>
      <w:sz w:val="56"/>
      <w:szCs w:val="56"/>
    </w:rPr>
  </w:style>
  <w:style w:type="character" w:styleId="char11" w:customStyle="1">
    <w:name w:val="Подзаголовок Знак"/>
    <w:basedOn w:val="char0"/>
    <w:rPr>
      <w:rFonts w:eastAsia="Calibri Light"/>
      <w:color w:val="595959"/>
      <w:spacing w:val="15"/>
      <w:sz w:val="28"/>
      <w:szCs w:val="28"/>
    </w:rPr>
  </w:style>
  <w:style w:type="character" w:styleId="char12" w:customStyle="1">
    <w:name w:val="Цитата 2 Знак"/>
    <w:basedOn w:val="char0"/>
    <w:rPr>
      <w:i/>
      <w:iCs/>
      <w:color w:val="404040"/>
    </w:rPr>
  </w:style>
  <w:style w:type="character" w:styleId="char13">
    <w:name w:val="Intense Emphasis"/>
    <w:basedOn w:val="char0"/>
    <w:rPr>
      <w:i/>
      <w:iCs/>
      <w:color w:val="2f5496"/>
    </w:rPr>
  </w:style>
  <w:style w:type="character" w:styleId="char14" w:customStyle="1">
    <w:name w:val="Выделенная цитата Знак"/>
    <w:basedOn w:val="char0"/>
    <w:rPr>
      <w:i/>
      <w:iCs/>
      <w:color w:val="2f5496"/>
    </w:rPr>
  </w:style>
  <w:style w:type="character" w:styleId="char15">
    <w:name w:val="Intense Reference"/>
    <w:basedOn w:val="char0"/>
    <w:rPr>
      <w:b/>
      <w:bCs/>
      <w:smallCaps/>
      <w:color w:val="2f5496"/>
      <w:spacing w:val="5"/>
    </w:rPr>
  </w:style>
  <w:style w:type="character" w:styleId="char16" w:customStyle="1">
    <w:name w:val="Верхний колонтитул Знак"/>
    <w:basedOn w:val="char0"/>
  </w:style>
  <w:style w:type="character" w:styleId="char17" w:customStyle="1">
    <w:name w:val="Нижний колонтитул Знак"/>
    <w:basedOn w:val="char0"/>
  </w:style>
  <w:style w:type="character" w:styleId="char18">
    <w:name w:val="Page Number"/>
    <w:basedOn w:val="char0"/>
  </w:style>
  <w:style w:type="character" w:styleId="char19">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header" Target="header12.xml"/><Relationship Id="rId31" Type="http://schemas.openxmlformats.org/officeDocument/2006/relationships/footer" Target="footer12.xml"/><Relationship Id="rId32" Type="http://schemas.openxmlformats.org/officeDocument/2006/relationships/header" Target="header13.xml"/><Relationship Id="rId33" Type="http://schemas.openxmlformats.org/officeDocument/2006/relationships/footer" Target="footer13.xml"/><Relationship Id="rId34" Type="http://schemas.openxmlformats.org/officeDocument/2006/relationships/header" Target="header14.xml"/><Relationship Id="rId35" Type="http://schemas.openxmlformats.org/officeDocument/2006/relationships/footer" Target="footer14.xml"/><Relationship Id="rId36" Type="http://schemas.openxmlformats.org/officeDocument/2006/relationships/header" Target="header15.xml"/><Relationship Id="rId37" Type="http://schemas.openxmlformats.org/officeDocument/2006/relationships/footer" Target="footer15.xml"/><Relationship Id="rId38" Type="http://schemas.openxmlformats.org/officeDocument/2006/relationships/header" Target="header1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
  <cp:revision>3</cp:revision>
  <dcterms:created xsi:type="dcterms:W3CDTF">2025-09-29T09:33:00Z</dcterms:created>
  <dcterms:modified xsi:type="dcterms:W3CDTF">2025-09-30T09:15:39Z</dcterms:modified>
</cp:coreProperties>
</file>