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CB" w:rsidRPr="00E542B1"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E542B1">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E542B1">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667938" w:rsidP="00DC6C96">
      <w:pPr>
        <w:pStyle w:val="3"/>
        <w:jc w:val="left"/>
        <w:rPr>
          <w:b w:val="0"/>
          <w:sz w:val="15"/>
          <w:lang w:val="uk-UA"/>
        </w:rPr>
      </w:pPr>
      <w:r w:rsidRPr="00E542B1">
        <w:rPr>
          <w:b w:val="0"/>
          <w:sz w:val="20"/>
          <w:szCs w:val="20"/>
          <w:u w:val="single"/>
        </w:rPr>
        <w:t>05.05.2023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C96A16" w:rsidRDefault="007E37D1" w:rsidP="00DC6C96">
      <w:pPr>
        <w:pStyle w:val="3"/>
        <w:jc w:val="left"/>
        <w:rPr>
          <w:b w:val="0"/>
          <w:sz w:val="20"/>
          <w:szCs w:val="20"/>
        </w:rPr>
      </w:pPr>
      <w:r w:rsidRPr="007E37D1">
        <w:rPr>
          <w:b w:val="0"/>
          <w:sz w:val="20"/>
          <w:szCs w:val="20"/>
          <w:lang w:val="uk-UA"/>
        </w:rPr>
        <w:t>№</w:t>
      </w:r>
      <w:r w:rsidRPr="00C96A16">
        <w:rPr>
          <w:b w:val="0"/>
          <w:sz w:val="20"/>
          <w:szCs w:val="20"/>
        </w:rPr>
        <w:t xml:space="preserve"> </w:t>
      </w:r>
      <w:r w:rsidR="00667938" w:rsidRPr="00C96A16">
        <w:rPr>
          <w:b w:val="0"/>
          <w:sz w:val="20"/>
          <w:szCs w:val="20"/>
          <w:u w:val="single"/>
        </w:rPr>
        <w:t>05//05-1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C96A16">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667938" w:rsidP="00DC6C96">
            <w:pPr>
              <w:jc w:val="center"/>
              <w:rPr>
                <w:color w:val="000000"/>
                <w:sz w:val="20"/>
                <w:szCs w:val="20"/>
                <w:lang w:val="en-US"/>
              </w:rPr>
            </w:pPr>
            <w:r>
              <w:rPr>
                <w:color w:val="000000"/>
                <w:sz w:val="20"/>
                <w:szCs w:val="20"/>
                <w:lang w:val="en-US"/>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667938" w:rsidP="00DC6C96">
            <w:pPr>
              <w:ind w:left="1280" w:hanging="591"/>
              <w:jc w:val="center"/>
              <w:rPr>
                <w:color w:val="000000"/>
                <w:sz w:val="20"/>
                <w:szCs w:val="20"/>
                <w:lang w:val="en-US"/>
              </w:rPr>
            </w:pPr>
            <w:r>
              <w:rPr>
                <w:color w:val="000000"/>
                <w:sz w:val="20"/>
                <w:szCs w:val="20"/>
                <w:lang w:val="en-US"/>
              </w:rPr>
              <w:t>Горда Максим Сергiйович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C96A16" w:rsidRDefault="00667938" w:rsidP="00DC6C96">
            <w:pPr>
              <w:rPr>
                <w:sz w:val="20"/>
                <w:szCs w:val="20"/>
              </w:rPr>
            </w:pPr>
            <w:r w:rsidRPr="00C96A16">
              <w:rPr>
                <w:sz w:val="20"/>
                <w:szCs w:val="20"/>
              </w:rPr>
              <w:t>ПРИВАТНЕ АКЦ</w:t>
            </w:r>
            <w:r>
              <w:rPr>
                <w:sz w:val="20"/>
                <w:szCs w:val="20"/>
                <w:lang w:val="en-US"/>
              </w:rPr>
              <w:t>I</w:t>
            </w:r>
            <w:r w:rsidRPr="00C96A16">
              <w:rPr>
                <w:sz w:val="20"/>
                <w:szCs w:val="20"/>
              </w:rPr>
              <w:t>ОНЕРНЕ ТОВАРИСТВО " МАК</w:t>
            </w:r>
            <w:r>
              <w:rPr>
                <w:sz w:val="20"/>
                <w:szCs w:val="20"/>
                <w:lang w:val="en-US"/>
              </w:rPr>
              <w:t>I</w:t>
            </w:r>
            <w:r w:rsidRPr="00C96A16">
              <w:rPr>
                <w:sz w:val="20"/>
                <w:szCs w:val="20"/>
              </w:rPr>
              <w:t>ЇВСЬКИЙ ЗАВОД "ФАКЕЛ"</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667938"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C96A16" w:rsidRDefault="00667938" w:rsidP="00DF42E6">
            <w:pPr>
              <w:rPr>
                <w:sz w:val="20"/>
                <w:szCs w:val="20"/>
              </w:rPr>
            </w:pPr>
            <w:r>
              <w:rPr>
                <w:sz w:val="20"/>
                <w:szCs w:val="20"/>
                <w:lang w:val="uk-UA"/>
              </w:rPr>
              <w:t>01014 М.КИЇВ ВУЛИЦЯ ЗВIРИНЕЦЬКА, БУДИНОК 63</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667938" w:rsidP="00DC6C96">
            <w:pPr>
              <w:rPr>
                <w:sz w:val="20"/>
                <w:szCs w:val="20"/>
                <w:lang w:val="en-US"/>
              </w:rPr>
            </w:pPr>
            <w:r>
              <w:rPr>
                <w:sz w:val="20"/>
                <w:szCs w:val="20"/>
                <w:lang w:val="en-US"/>
              </w:rPr>
              <w:t>05781213</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667938" w:rsidP="00DC6C96">
            <w:pPr>
              <w:rPr>
                <w:sz w:val="20"/>
                <w:szCs w:val="20"/>
                <w:lang w:val="en-US"/>
              </w:rPr>
            </w:pPr>
            <w:r>
              <w:rPr>
                <w:sz w:val="20"/>
                <w:szCs w:val="20"/>
                <w:lang w:val="en-US"/>
              </w:rPr>
              <w:t>0968671022, 0968671022 д/н</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667938" w:rsidP="00DC6C96">
            <w:pPr>
              <w:rPr>
                <w:sz w:val="20"/>
                <w:szCs w:val="20"/>
                <w:lang w:val="en-US"/>
              </w:rPr>
            </w:pPr>
            <w:r>
              <w:rPr>
                <w:sz w:val="20"/>
                <w:szCs w:val="20"/>
                <w:lang w:val="en-US"/>
              </w:rPr>
              <w:t>fakel@pacinsider.com</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667938" w:rsidRPr="00C96A16" w:rsidRDefault="00667938" w:rsidP="00DC6C96">
            <w:pPr>
              <w:rPr>
                <w:sz w:val="20"/>
                <w:szCs w:val="20"/>
              </w:rPr>
            </w:pPr>
            <w:r w:rsidRPr="00C96A16">
              <w:rPr>
                <w:sz w:val="20"/>
                <w:szCs w:val="20"/>
              </w:rPr>
              <w:t>Державна установа "Агентство з розвитку інфраструктури фондового ринку України"</w:t>
            </w:r>
          </w:p>
          <w:p w:rsidR="00667938" w:rsidRDefault="00667938" w:rsidP="00DC6C96">
            <w:pPr>
              <w:rPr>
                <w:sz w:val="20"/>
                <w:szCs w:val="20"/>
                <w:lang w:val="en-US"/>
              </w:rPr>
            </w:pPr>
            <w:r>
              <w:rPr>
                <w:sz w:val="20"/>
                <w:szCs w:val="20"/>
                <w:lang w:val="en-US"/>
              </w:rPr>
              <w:t>21676262</w:t>
            </w:r>
          </w:p>
          <w:p w:rsidR="00667938" w:rsidRDefault="00667938" w:rsidP="00DC6C96">
            <w:pPr>
              <w:rPr>
                <w:sz w:val="20"/>
                <w:szCs w:val="20"/>
                <w:lang w:val="en-US"/>
              </w:rPr>
            </w:pPr>
            <w:r>
              <w:rPr>
                <w:sz w:val="20"/>
                <w:szCs w:val="20"/>
                <w:lang w:val="en-US"/>
              </w:rPr>
              <w:t>Україна</w:t>
            </w:r>
          </w:p>
          <w:p w:rsidR="00531337" w:rsidRPr="009A60E3" w:rsidRDefault="00667938"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667938" w:rsidRPr="00C96A16" w:rsidRDefault="00667938" w:rsidP="00DC6C96">
            <w:pPr>
              <w:rPr>
                <w:sz w:val="20"/>
                <w:szCs w:val="20"/>
              </w:rPr>
            </w:pPr>
            <w:r w:rsidRPr="00C96A16">
              <w:rPr>
                <w:sz w:val="20"/>
                <w:szCs w:val="20"/>
              </w:rPr>
              <w:t>Державна установа "Агентство з розвитку інфраструктури фондового ринку України"</w:t>
            </w:r>
          </w:p>
          <w:p w:rsidR="00667938" w:rsidRDefault="00667938" w:rsidP="00DC6C96">
            <w:pPr>
              <w:rPr>
                <w:sz w:val="20"/>
                <w:szCs w:val="20"/>
                <w:lang w:val="en-US"/>
              </w:rPr>
            </w:pPr>
            <w:r>
              <w:rPr>
                <w:sz w:val="20"/>
                <w:szCs w:val="20"/>
                <w:lang w:val="en-US"/>
              </w:rPr>
              <w:t>21676262</w:t>
            </w:r>
          </w:p>
          <w:p w:rsidR="00667938" w:rsidRDefault="00667938" w:rsidP="00DC6C96">
            <w:pPr>
              <w:rPr>
                <w:sz w:val="20"/>
                <w:szCs w:val="20"/>
                <w:lang w:val="en-US"/>
              </w:rPr>
            </w:pPr>
            <w:r>
              <w:rPr>
                <w:sz w:val="20"/>
                <w:szCs w:val="20"/>
                <w:lang w:val="en-US"/>
              </w:rPr>
              <w:t>Україна</w:t>
            </w:r>
          </w:p>
          <w:p w:rsidR="00C86AFD" w:rsidRPr="00C86AFD" w:rsidRDefault="00667938"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667938" w:rsidP="00DC6C96">
            <w:pPr>
              <w:jc w:val="center"/>
              <w:rPr>
                <w:b/>
                <w:sz w:val="20"/>
                <w:szCs w:val="20"/>
              </w:rPr>
            </w:pPr>
            <w:r>
              <w:rPr>
                <w:sz w:val="20"/>
                <w:szCs w:val="20"/>
                <w:lang w:val="en-US"/>
              </w:rPr>
              <w:t>fakel.pat.ua</w:t>
            </w:r>
          </w:p>
        </w:tc>
        <w:tc>
          <w:tcPr>
            <w:tcW w:w="1501" w:type="dxa"/>
            <w:tcMar>
              <w:top w:w="60" w:type="dxa"/>
              <w:left w:w="60" w:type="dxa"/>
              <w:bottom w:w="60" w:type="dxa"/>
              <w:right w:w="60" w:type="dxa"/>
            </w:tcMar>
            <w:vAlign w:val="center"/>
          </w:tcPr>
          <w:p w:rsidR="001714DF" w:rsidRPr="00DF42E6" w:rsidRDefault="00667938" w:rsidP="00DC6C96">
            <w:pPr>
              <w:jc w:val="center"/>
              <w:rPr>
                <w:sz w:val="20"/>
                <w:szCs w:val="20"/>
                <w:lang w:val="en-US"/>
              </w:rPr>
            </w:pPr>
            <w:r>
              <w:rPr>
                <w:sz w:val="20"/>
                <w:szCs w:val="20"/>
                <w:lang w:val="en-US"/>
              </w:rPr>
              <w:t>05.05.2023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E542B1" w:rsidRDefault="00E542B1" w:rsidP="00C86AFD">
      <w:pPr>
        <w:rPr>
          <w:lang w:val="en-US"/>
        </w:rPr>
        <w:sectPr w:rsidR="00E542B1" w:rsidSect="00667938">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E542B1" w:rsidRPr="00E542B1" w:rsidTr="00FE093D">
        <w:trPr>
          <w:trHeight w:val="440"/>
          <w:tblCellSpacing w:w="22" w:type="dxa"/>
        </w:trPr>
        <w:tc>
          <w:tcPr>
            <w:tcW w:w="4931" w:type="pct"/>
          </w:tcPr>
          <w:p w:rsidR="00E542B1" w:rsidRPr="00E542B1" w:rsidRDefault="00E542B1" w:rsidP="00E542B1">
            <w:pPr>
              <w:spacing w:before="100" w:beforeAutospacing="1" w:after="100" w:afterAutospacing="1"/>
              <w:ind w:left="-284" w:firstLine="284"/>
              <w:rPr>
                <w:sz w:val="20"/>
                <w:szCs w:val="20"/>
                <w:lang w:val="uk-UA"/>
              </w:rPr>
            </w:pPr>
            <w:r w:rsidRPr="00E542B1">
              <w:rPr>
                <w:sz w:val="20"/>
                <w:szCs w:val="20"/>
              </w:rPr>
              <w:lastRenderedPageBreak/>
              <w:t>Додаток 6</w:t>
            </w:r>
            <w:r w:rsidRPr="00E542B1">
              <w:rPr>
                <w:sz w:val="20"/>
                <w:szCs w:val="20"/>
              </w:rPr>
              <w:br/>
              <w:t>до Положення про розкриття інформації емітентами цінних паперів</w:t>
            </w:r>
            <w:r w:rsidRPr="00E542B1">
              <w:rPr>
                <w:sz w:val="20"/>
                <w:szCs w:val="20"/>
              </w:rPr>
              <w:br/>
              <w:t>(пу</w:t>
            </w:r>
            <w:r w:rsidRPr="00E542B1">
              <w:rPr>
                <w:sz w:val="20"/>
                <w:szCs w:val="20"/>
                <w:lang w:val="uk-UA"/>
              </w:rPr>
              <w:t>(пу</w:t>
            </w:r>
            <w:r w:rsidRPr="00E542B1">
              <w:rPr>
                <w:sz w:val="20"/>
                <w:szCs w:val="20"/>
              </w:rPr>
              <w:t>нкт 7 глави 1 розділу III)</w:t>
            </w:r>
          </w:p>
        </w:tc>
      </w:tr>
    </w:tbl>
    <w:p w:rsidR="00E542B1" w:rsidRPr="00E542B1" w:rsidRDefault="00E542B1" w:rsidP="00E542B1">
      <w:pPr>
        <w:spacing w:before="100" w:beforeAutospacing="1" w:after="100" w:afterAutospacing="1"/>
        <w:ind w:left="4956"/>
        <w:jc w:val="both"/>
        <w:rPr>
          <w:b/>
          <w:lang w:val="uk-UA"/>
        </w:rPr>
      </w:pPr>
      <w:r w:rsidRPr="00E542B1">
        <w:rPr>
          <w:sz w:val="20"/>
          <w:szCs w:val="20"/>
          <w:lang w:val="uk-UA"/>
        </w:rPr>
        <w:br w:type="textWrapping" w:clear="all"/>
      </w:r>
      <w:r w:rsidRPr="00E542B1">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4"/>
        <w:gridCol w:w="2109"/>
        <w:gridCol w:w="2939"/>
        <w:gridCol w:w="4227"/>
        <w:gridCol w:w="2711"/>
        <w:gridCol w:w="2566"/>
      </w:tblGrid>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rPr>
              <w:t>Дата вчинення дії</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Зміни (призначено, звільнено, обрано або 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Посада*</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Прізвище, ім'я, по батькові або повне найменування юридичної особи</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rPr>
              <w:t>Ідентифікаційний код юридичної особи</w:t>
            </w: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Розмір частки в статутному капіталі емітента (у відсотках)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1</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2</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3</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4</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5</w:t>
            </w: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b/>
                <w:sz w:val="20"/>
                <w:szCs w:val="20"/>
                <w:lang w:val="uk-UA"/>
              </w:rPr>
            </w:pPr>
            <w:r w:rsidRPr="00E542B1">
              <w:rPr>
                <w:b/>
                <w:sz w:val="20"/>
                <w:szCs w:val="20"/>
                <w:lang w:val="uk-UA"/>
              </w:rPr>
              <w:t>6</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Ревізор</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Кононенко Наталія Анатоліївна</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припинення повноважень ревізора ПРАТ "Макіївський завод "Факел" у зв'язку iз закінченням строку призначення. Акціями Товариства не володіє Непогашеної судимості за корисливі та посадові злочини не має. Кононенко Наталія Анатоліївна обіймала посаду ревізора ПРАТ "Макіївський завод "Факел" з 11.04.2017 по 04.05.2023 р. Посадова особа не надала згоди на розкриття інформації щодо паспортних даних. На посаду ревізора замість Кононенко Н.А., повноваження якої припинено, нікого не обрано, у зв'язку з ліквідацією посади ревізора в ПРАТ "Макіївський завод "Факел".</w:t>
            </w:r>
          </w:p>
          <w:p w:rsidR="00E542B1" w:rsidRPr="00E542B1" w:rsidRDefault="00E542B1" w:rsidP="00E542B1">
            <w:pPr>
              <w:spacing w:before="100" w:beforeAutospacing="1" w:after="100" w:afterAutospacing="1"/>
              <w:rPr>
                <w:sz w:val="20"/>
                <w:szCs w:val="20"/>
                <w:lang w:val="uk-UA"/>
              </w:rPr>
            </w:pP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Голова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Лобов Сергій Вікторович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22.74786</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припинення повноважень Голови Наглядової ради ПРАТ "Макіївський завод "Факел" у зв'язку iз закінченням строку призначення. Володіє акціями Товариства в кількості 3600168 штук акцiй (голосуючих акцiй 3600168), що складає 22,747864% вiд розмiру Статутного капiталу Товариства. Непогашеної судимості за корисливі та посадові злочини не має. Лобов Сергій Вікторович обіймав посаду Голови Наглядової ради ПРАТ "Макіївський завод "Факел" з 11.04.2017 по 04.05.2023 р. Посадова особа не надала згоди на розкриття інформації щодо паспортних даних.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Іванов Олексій Миколайович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припинення повноважень члена Наглядової ради ПРАТ "Макіївський завод "Факел" у зв'язку iз закінченням строку призначення. Акціями Товариства не володіє .Непогашеної судимості за корисливі та посадові злочини не має. Іванов Олексій Миколайович обіймав посаду члена Наглядової ради ПРАТ "Макіївський завод "Факел" з 11.04.2017 по 04.05.2023 р. Посадова особа не надала згоди на розкриття інформації щодо паспортних даних.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припинено повноваження</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Усенко Антон Юрійович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 xml:space="preserve">Відповідно до Протоколу річних дистанційних загальних зборів акціонерів ПРАТ "Макіївський завод "Факел" (ЄДРПОУ 05781213) № 1 вiд 04.05.2023 року прийнято рішення про припинення повноважень члена Наглядової ради ПРАТ "Макіївський завод "Факел" у зв'язку iз закінченням строку призначення. Акціями Товариства не володіє. Непогашеної судимості </w:t>
            </w:r>
            <w:r w:rsidRPr="00E542B1">
              <w:rPr>
                <w:sz w:val="20"/>
                <w:szCs w:val="20"/>
                <w:lang w:val="uk-UA"/>
              </w:rPr>
              <w:lastRenderedPageBreak/>
              <w:t>за корисливі та посадові злочини не має. Усенко Антон Юрійович обіймав посаду члена Наглядової ради ПРАТ "Макіївський завод "Факел" з 11.04.2017 по 04.05.2023 р. Посадова особа не надала згоди на розкриття інформації щодо паспортних даних.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lastRenderedPageBreak/>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Панченко Сергій Олександрович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обрання Панченко Сергія Олександровича на посаду члена Наглядової ради ПРАТ "Макіївський завод "Факел" з 04.05.2023 року строком на три роки. Протягом останніх 5 років Панченко Сергій Олександрович обіймав наступні посади: з 04.11.2016 року по 16.11.2020 року заступник директора ТОВ "ЗМП "ПРО-МІКС", з 17.11.2020 року по теперішній час директор ТОВ "ЗМП "ПРО-МІКС". Акцiями Товариства не володіє, не є представником акціонера або групи акціонерів Товариства,  є незалежним директором. Станом на 04.05.2023 року до кримінальної відповідальності не притягався, непогашеної судимості за корисливі та посадові злочини не має. Посадова особа не надала згоди на розкриття інформації щодо паспортних даних.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Член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Іванов Олексій Миколайович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обрання Іванова Олексія Миколайовича на посаду члена Наглядової ради ПРАТ "Макіївський завод "Факел" з 04.05.2023 року строком на три роки. Протягом останніх 5 років Іванов Олексій Миколайович, а саме з  11.04.2017 по 04.05.2023 обіймав посаду члена Наглядової ради ПрАТ "Макіївський завод "Факел" на безоплатній основі.  Акціями Товариства не володіє, не є представником акціонера або групи акціонерів Товариства,  є незалежним директором. Станом на 04.05.2023 року до кримінальної відповідальності не притягався, непогашеної судимості за корисливі та посадові злочини не має. Посадова особа не надала згоди на розкриття інформації щодо паспортних даних.</w:t>
            </w:r>
          </w:p>
        </w:tc>
      </w:tr>
      <w:tr w:rsidR="00E542B1" w:rsidRPr="00E542B1" w:rsidTr="00FE093D">
        <w:tc>
          <w:tcPr>
            <w:tcW w:w="480"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04.05.2023</w:t>
            </w:r>
          </w:p>
        </w:tc>
        <w:tc>
          <w:tcPr>
            <w:tcW w:w="655"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обрано</w:t>
            </w:r>
          </w:p>
        </w:tc>
        <w:tc>
          <w:tcPr>
            <w:tcW w:w="9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Голова Наглядової Ради</w:t>
            </w:r>
          </w:p>
        </w:tc>
        <w:tc>
          <w:tcPr>
            <w:tcW w:w="1313"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Ошурков Едуард Геннадійович</w:t>
            </w:r>
          </w:p>
        </w:tc>
        <w:tc>
          <w:tcPr>
            <w:tcW w:w="842"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p>
        </w:tc>
        <w:tc>
          <w:tcPr>
            <w:tcW w:w="797" w:type="pct"/>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jc w:val="center"/>
              <w:rPr>
                <w:sz w:val="20"/>
                <w:szCs w:val="20"/>
                <w:lang w:val="uk-UA"/>
              </w:rPr>
            </w:pPr>
            <w:r w:rsidRPr="00E542B1">
              <w:rPr>
                <w:sz w:val="20"/>
                <w:szCs w:val="20"/>
                <w:lang w:val="uk-UA"/>
              </w:rPr>
              <w:t>0.00000</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vAlign w:val="center"/>
          </w:tcPr>
          <w:p w:rsidR="00E542B1" w:rsidRPr="00E542B1" w:rsidRDefault="00E542B1" w:rsidP="00E542B1">
            <w:pPr>
              <w:spacing w:before="100" w:beforeAutospacing="1" w:after="100" w:afterAutospacing="1"/>
              <w:rPr>
                <w:b/>
                <w:sz w:val="20"/>
                <w:szCs w:val="20"/>
                <w:lang w:val="uk-UA"/>
              </w:rPr>
            </w:pPr>
            <w:r w:rsidRPr="00E542B1">
              <w:rPr>
                <w:b/>
                <w:sz w:val="20"/>
                <w:szCs w:val="20"/>
                <w:lang w:val="uk-UA"/>
              </w:rPr>
              <w:t>Зміст інформації</w:t>
            </w:r>
          </w:p>
        </w:tc>
      </w:tr>
      <w:tr w:rsidR="00E542B1" w:rsidRPr="00E542B1" w:rsidTr="00FE093D">
        <w:tc>
          <w:tcPr>
            <w:tcW w:w="5000" w:type="pct"/>
            <w:gridSpan w:val="6"/>
            <w:tcBorders>
              <w:top w:val="outset" w:sz="6" w:space="0" w:color="auto"/>
              <w:left w:val="outset" w:sz="6" w:space="0" w:color="auto"/>
              <w:bottom w:val="outset" w:sz="6" w:space="0" w:color="auto"/>
              <w:right w:val="outset" w:sz="6" w:space="0" w:color="auto"/>
            </w:tcBorders>
          </w:tcPr>
          <w:p w:rsidR="00E542B1" w:rsidRPr="00E542B1" w:rsidRDefault="00E542B1" w:rsidP="00E542B1">
            <w:pPr>
              <w:spacing w:before="100" w:beforeAutospacing="1" w:after="100" w:afterAutospacing="1"/>
              <w:rPr>
                <w:sz w:val="20"/>
                <w:szCs w:val="20"/>
                <w:lang w:val="uk-UA"/>
              </w:rPr>
            </w:pPr>
            <w:r w:rsidRPr="00E542B1">
              <w:rPr>
                <w:sz w:val="20"/>
                <w:szCs w:val="20"/>
                <w:lang w:val="uk-UA"/>
              </w:rPr>
              <w:t>Відповідно до Протоколу річних дистанційних загальних зборів акціонерів ПРАТ "Макіївський завод "Факел" (ЄДРПОУ 05781213) № 1 вiд 04.05.2023 року прийнято рішення про обрання Ошуркова Едуарда Геннадійовича на посаду Голови Наглядової ради ПРАТ "Макіївський завод "Факел" з 04.05.2023 року строком на три роки. Протягом останніх 5 років Ошурков Едуард Геннадійович обіймав посаду: з 21.06.2016 року по 31.01.2019 рік менеджер зі збуту ТОВ "Вугілля Інвест", з 22.02.2019 року по теперішній час менеджер зі збуту ТОВ "НТК". Акціями Товариства не володіє, не є представником акціонера або групи акціонерів Товариства,  є незалежним директором. Станом на 04.05.2023 року до кримінальної відповідальності не притягався, непогашеної судимості за корисливі та посадові злочини не має. Посадова особа не надала згоди на розкриття інформації щодо паспортних даних.</w:t>
            </w:r>
          </w:p>
        </w:tc>
      </w:tr>
    </w:tbl>
    <w:p w:rsidR="00E542B1" w:rsidRPr="00E542B1" w:rsidRDefault="00E542B1" w:rsidP="00E542B1"/>
    <w:p w:rsidR="00E542B1" w:rsidRPr="00E542B1" w:rsidRDefault="00E542B1" w:rsidP="00E542B1">
      <w:r w:rsidRPr="00E542B1">
        <w:rPr>
          <w:color w:val="333333"/>
          <w:sz w:val="20"/>
          <w:szCs w:val="20"/>
          <w:shd w:val="clear" w:color="auto" w:fill="FFFFFF"/>
        </w:rPr>
        <w:t>* Окремо зазначаються особи, які звільняються та призначаються (обираються або припиняють повноваження) на кожну посаду.</w:t>
      </w:r>
    </w:p>
    <w:p w:rsidR="003C4C1A" w:rsidRPr="00C96A16" w:rsidRDefault="003C4C1A" w:rsidP="00C86AFD"/>
    <w:sectPr w:rsidR="003C4C1A" w:rsidRPr="00C96A16" w:rsidSect="00E542B1">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938"/>
    <w:rsid w:val="00020BCB"/>
    <w:rsid w:val="001714DF"/>
    <w:rsid w:val="00244204"/>
    <w:rsid w:val="002D6506"/>
    <w:rsid w:val="003275D1"/>
    <w:rsid w:val="00375E69"/>
    <w:rsid w:val="003C4C1A"/>
    <w:rsid w:val="004263EB"/>
    <w:rsid w:val="0044001B"/>
    <w:rsid w:val="004E61FF"/>
    <w:rsid w:val="00531337"/>
    <w:rsid w:val="00667938"/>
    <w:rsid w:val="006C6B5C"/>
    <w:rsid w:val="007E37D1"/>
    <w:rsid w:val="007F5510"/>
    <w:rsid w:val="00902454"/>
    <w:rsid w:val="009A60E3"/>
    <w:rsid w:val="009F2C05"/>
    <w:rsid w:val="00A372E3"/>
    <w:rsid w:val="00B71BC8"/>
    <w:rsid w:val="00C86AFD"/>
    <w:rsid w:val="00C96A16"/>
    <w:rsid w:val="00CD55EE"/>
    <w:rsid w:val="00D055A7"/>
    <w:rsid w:val="00D42B2D"/>
    <w:rsid w:val="00D42FB5"/>
    <w:rsid w:val="00DC6C96"/>
    <w:rsid w:val="00DF42E6"/>
    <w:rsid w:val="00E209DB"/>
    <w:rsid w:val="00E5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CE1F80-E979-4DA3-B122-73AC2085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customStyle="1" w:styleId="a4">
    <w:name w:val="Обычный (веб)"/>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4FC7-6FF2-4B28-AC6E-736A7A4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3</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User</dc:creator>
  <cp:keywords/>
  <cp:lastModifiedBy>User</cp:lastModifiedBy>
  <cp:revision>2</cp:revision>
  <cp:lastPrinted>2013-07-11T13:29:00Z</cp:lastPrinted>
  <dcterms:created xsi:type="dcterms:W3CDTF">2023-05-05T06:31:00Z</dcterms:created>
  <dcterms:modified xsi:type="dcterms:W3CDTF">2023-05-05T06:31:00Z</dcterms:modified>
</cp:coreProperties>
</file>